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1A7C" w14:textId="113BBCC2" w:rsidR="00741333" w:rsidRPr="008D5567" w:rsidRDefault="00741333" w:rsidP="00724D63">
      <w:pPr>
        <w:keepNext/>
        <w:suppressAutoHyphens w:val="0"/>
        <w:spacing w:after="240" w:line="360" w:lineRule="auto"/>
        <w:contextualSpacing/>
        <w:jc w:val="center"/>
        <w:rPr>
          <w:b/>
          <w:caps/>
        </w:rPr>
      </w:pPr>
      <w:bookmarkStart w:id="0" w:name="CaseType"/>
      <w:r w:rsidRPr="008D5567">
        <w:rPr>
          <w:b/>
          <w:caps/>
        </w:rPr>
        <w:t xml:space="preserve">PROJECT No. </w:t>
      </w:r>
      <w:bookmarkEnd w:id="0"/>
      <w:r w:rsidR="000A6B5E" w:rsidRPr="008D5567">
        <w:rPr>
          <w:b/>
          <w:caps/>
        </w:rPr>
        <w:t>54584</w:t>
      </w:r>
    </w:p>
    <w:p w14:paraId="1029E682" w14:textId="77777777" w:rsidR="00741333" w:rsidRPr="008D5567" w:rsidRDefault="00741333" w:rsidP="00724D63">
      <w:pPr>
        <w:keepNext/>
        <w:suppressAutoHyphens w:val="0"/>
        <w:spacing w:after="240" w:line="360" w:lineRule="auto"/>
        <w:contextualSpacing/>
        <w:jc w:val="center"/>
        <w:rPr>
          <w:b/>
          <w:bCs/>
          <w:caps/>
          <w:color w:val="000000" w:themeColor="text1"/>
        </w:rPr>
      </w:pPr>
    </w:p>
    <w:tbl>
      <w:tblPr>
        <w:tblW w:w="0" w:type="auto"/>
        <w:tblLook w:val="01E0" w:firstRow="1" w:lastRow="1" w:firstColumn="1" w:lastColumn="1" w:noHBand="0" w:noVBand="0"/>
        <w:tblCaption w:val="Case Caption"/>
      </w:tblPr>
      <w:tblGrid>
        <w:gridCol w:w="4826"/>
        <w:gridCol w:w="336"/>
        <w:gridCol w:w="4198"/>
      </w:tblGrid>
      <w:tr w:rsidR="00741333" w:rsidRPr="008D5567" w14:paraId="1F82763A" w14:textId="77777777" w:rsidTr="00C73077">
        <w:trPr>
          <w:trHeight w:val="576"/>
        </w:trPr>
        <w:tc>
          <w:tcPr>
            <w:tcW w:w="4826" w:type="dxa"/>
          </w:tcPr>
          <w:p w14:paraId="35FFB7A1" w14:textId="77777777" w:rsidR="00655727" w:rsidRPr="008D5567" w:rsidRDefault="00655727" w:rsidP="00724D63">
            <w:pPr>
              <w:tabs>
                <w:tab w:val="center" w:pos="4770"/>
                <w:tab w:val="left" w:pos="5400"/>
              </w:tabs>
              <w:suppressAutoHyphens w:val="0"/>
              <w:spacing w:line="360" w:lineRule="auto"/>
              <w:jc w:val="center"/>
              <w:rPr>
                <w:b/>
                <w:bCs/>
                <w:caps/>
                <w:szCs w:val="20"/>
              </w:rPr>
            </w:pPr>
            <w:r w:rsidRPr="008D5567">
              <w:rPr>
                <w:b/>
                <w:bCs/>
                <w:caps/>
                <w:szCs w:val="20"/>
              </w:rPr>
              <w:t xml:space="preserve">RELIABILITY STANDARD FOR THE </w:t>
            </w:r>
          </w:p>
          <w:p w14:paraId="167D0930" w14:textId="77777777" w:rsidR="00655727" w:rsidRPr="008D5567" w:rsidRDefault="00655727" w:rsidP="00724D63">
            <w:pPr>
              <w:tabs>
                <w:tab w:val="center" w:pos="4770"/>
                <w:tab w:val="left" w:pos="5400"/>
              </w:tabs>
              <w:suppressAutoHyphens w:val="0"/>
              <w:spacing w:line="360" w:lineRule="auto"/>
              <w:jc w:val="center"/>
              <w:rPr>
                <w:b/>
                <w:bCs/>
                <w:caps/>
                <w:szCs w:val="20"/>
              </w:rPr>
            </w:pPr>
          </w:p>
          <w:p w14:paraId="327CCC70" w14:textId="23BCA119" w:rsidR="00741333" w:rsidRPr="008D5567" w:rsidRDefault="00655727" w:rsidP="00724D63">
            <w:pPr>
              <w:tabs>
                <w:tab w:val="center" w:pos="4770"/>
                <w:tab w:val="left" w:pos="5400"/>
              </w:tabs>
              <w:suppressAutoHyphens w:val="0"/>
              <w:spacing w:line="360" w:lineRule="auto"/>
              <w:jc w:val="center"/>
              <w:rPr>
                <w:b/>
                <w:szCs w:val="20"/>
              </w:rPr>
            </w:pPr>
            <w:r w:rsidRPr="008D5567">
              <w:rPr>
                <w:b/>
                <w:bCs/>
                <w:caps/>
                <w:szCs w:val="20"/>
              </w:rPr>
              <w:t>ERCOT MARKET</w:t>
            </w:r>
          </w:p>
        </w:tc>
        <w:tc>
          <w:tcPr>
            <w:tcW w:w="336" w:type="dxa"/>
            <w:noWrap/>
          </w:tcPr>
          <w:p w14:paraId="78BBBBE7" w14:textId="77777777" w:rsidR="00741333" w:rsidRPr="008D5567" w:rsidRDefault="00741333" w:rsidP="00724D63">
            <w:pPr>
              <w:suppressAutoHyphens w:val="0"/>
              <w:spacing w:line="360" w:lineRule="auto"/>
              <w:jc w:val="both"/>
              <w:rPr>
                <w:b/>
                <w:szCs w:val="20"/>
              </w:rPr>
            </w:pPr>
            <w:r w:rsidRPr="008D5567">
              <w:rPr>
                <w:b/>
                <w:szCs w:val="20"/>
              </w:rPr>
              <w:t>§</w:t>
            </w:r>
          </w:p>
          <w:p w14:paraId="5524773E" w14:textId="77777777" w:rsidR="00741333" w:rsidRPr="008D5567" w:rsidRDefault="00741333" w:rsidP="00724D63">
            <w:pPr>
              <w:suppressAutoHyphens w:val="0"/>
              <w:spacing w:line="360" w:lineRule="auto"/>
              <w:jc w:val="both"/>
              <w:rPr>
                <w:b/>
                <w:szCs w:val="20"/>
              </w:rPr>
            </w:pPr>
            <w:r w:rsidRPr="008D5567">
              <w:rPr>
                <w:b/>
                <w:szCs w:val="20"/>
              </w:rPr>
              <w:t>§</w:t>
            </w:r>
          </w:p>
          <w:p w14:paraId="0262553D" w14:textId="77777777" w:rsidR="00741333" w:rsidRPr="008D5567" w:rsidRDefault="00741333" w:rsidP="00724D63">
            <w:pPr>
              <w:suppressAutoHyphens w:val="0"/>
              <w:spacing w:line="360" w:lineRule="auto"/>
              <w:jc w:val="both"/>
              <w:rPr>
                <w:b/>
                <w:szCs w:val="20"/>
              </w:rPr>
            </w:pPr>
            <w:r w:rsidRPr="008D5567">
              <w:rPr>
                <w:b/>
                <w:szCs w:val="20"/>
              </w:rPr>
              <w:t>§</w:t>
            </w:r>
          </w:p>
          <w:p w14:paraId="488A5503" w14:textId="7E78054B" w:rsidR="006D4397" w:rsidRPr="008D5567" w:rsidRDefault="006D4397" w:rsidP="00724D63">
            <w:pPr>
              <w:suppressAutoHyphens w:val="0"/>
              <w:spacing w:line="360" w:lineRule="auto"/>
              <w:jc w:val="both"/>
              <w:rPr>
                <w:b/>
                <w:szCs w:val="20"/>
              </w:rPr>
            </w:pPr>
          </w:p>
        </w:tc>
        <w:tc>
          <w:tcPr>
            <w:tcW w:w="4198" w:type="dxa"/>
          </w:tcPr>
          <w:p w14:paraId="7DEC2409" w14:textId="77777777" w:rsidR="00741333" w:rsidRPr="008D5567" w:rsidRDefault="00741333" w:rsidP="00724D63">
            <w:pPr>
              <w:tabs>
                <w:tab w:val="center" w:pos="4770"/>
                <w:tab w:val="left" w:pos="5400"/>
              </w:tabs>
              <w:suppressAutoHyphens w:val="0"/>
              <w:spacing w:line="360" w:lineRule="auto"/>
              <w:jc w:val="center"/>
              <w:rPr>
                <w:b/>
                <w:bCs/>
                <w:caps/>
                <w:szCs w:val="20"/>
              </w:rPr>
            </w:pPr>
            <w:r w:rsidRPr="008D5567">
              <w:rPr>
                <w:b/>
                <w:bCs/>
                <w:caps/>
                <w:szCs w:val="20"/>
              </w:rPr>
              <w:t>PUBLIC UTILITY COMMISSION</w:t>
            </w:r>
          </w:p>
          <w:p w14:paraId="672F6634" w14:textId="77777777" w:rsidR="00741333" w:rsidRPr="008D5567" w:rsidRDefault="00741333" w:rsidP="00724D63">
            <w:pPr>
              <w:tabs>
                <w:tab w:val="center" w:pos="4770"/>
                <w:tab w:val="left" w:pos="5400"/>
              </w:tabs>
              <w:suppressAutoHyphens w:val="0"/>
              <w:spacing w:line="360" w:lineRule="auto"/>
              <w:jc w:val="center"/>
              <w:rPr>
                <w:b/>
                <w:bCs/>
                <w:caps/>
                <w:szCs w:val="20"/>
              </w:rPr>
            </w:pPr>
          </w:p>
          <w:p w14:paraId="2070B953" w14:textId="77777777" w:rsidR="00741333" w:rsidRPr="008D5567" w:rsidRDefault="00741333" w:rsidP="00724D63">
            <w:pPr>
              <w:tabs>
                <w:tab w:val="center" w:pos="4770"/>
                <w:tab w:val="left" w:pos="5400"/>
              </w:tabs>
              <w:suppressAutoHyphens w:val="0"/>
              <w:spacing w:line="360" w:lineRule="auto"/>
              <w:jc w:val="center"/>
              <w:rPr>
                <w:b/>
                <w:bCs/>
                <w:caps/>
                <w:szCs w:val="20"/>
              </w:rPr>
            </w:pPr>
            <w:r w:rsidRPr="008D5567">
              <w:rPr>
                <w:b/>
                <w:bCs/>
                <w:caps/>
                <w:szCs w:val="20"/>
              </w:rPr>
              <w:t>OF TEXAS</w:t>
            </w:r>
          </w:p>
        </w:tc>
      </w:tr>
    </w:tbl>
    <w:p w14:paraId="3A5F6319" w14:textId="77777777" w:rsidR="00741333" w:rsidRPr="008D5567" w:rsidRDefault="00741333" w:rsidP="00B46E09">
      <w:pPr>
        <w:keepNext/>
        <w:suppressAutoHyphens w:val="0"/>
        <w:spacing w:line="360" w:lineRule="auto"/>
        <w:rPr>
          <w:b/>
          <w:caps/>
        </w:rPr>
      </w:pPr>
      <w:bookmarkStart w:id="1" w:name="_Hlk111022851"/>
    </w:p>
    <w:bookmarkEnd w:id="1"/>
    <w:p w14:paraId="4BE6E6FC" w14:textId="77777777" w:rsidR="00EA0321" w:rsidRPr="008D5567" w:rsidRDefault="00EA0321" w:rsidP="00724D63">
      <w:pPr>
        <w:suppressAutoHyphens w:val="0"/>
        <w:spacing w:line="360" w:lineRule="auto"/>
        <w:jc w:val="center"/>
        <w:rPr>
          <w:b/>
          <w:bCs/>
          <w:iCs/>
        </w:rPr>
      </w:pPr>
      <w:r w:rsidRPr="008D5567">
        <w:rPr>
          <w:b/>
          <w:bCs/>
          <w:iCs/>
        </w:rPr>
        <w:t>I.</w:t>
      </w:r>
      <w:r w:rsidRPr="008D5567">
        <w:rPr>
          <w:b/>
          <w:bCs/>
          <w:iCs/>
        </w:rPr>
        <w:tab/>
        <w:t>INTRODUCTION</w:t>
      </w:r>
    </w:p>
    <w:p w14:paraId="22E6759C" w14:textId="7E3AA6C1" w:rsidR="001737B2" w:rsidRPr="008D5567" w:rsidRDefault="001737B2" w:rsidP="00724D63">
      <w:pPr>
        <w:spacing w:line="360" w:lineRule="auto"/>
        <w:rPr>
          <w:b/>
          <w:caps/>
        </w:rPr>
      </w:pPr>
    </w:p>
    <w:p w14:paraId="7A44AE9B" w14:textId="1E137413" w:rsidR="00FE6B6C" w:rsidRPr="008D5567" w:rsidRDefault="001737B2" w:rsidP="006D5231">
      <w:pPr>
        <w:spacing w:line="360" w:lineRule="auto"/>
        <w:jc w:val="both"/>
        <w:rPr>
          <w:bCs/>
        </w:rPr>
      </w:pPr>
      <w:r w:rsidRPr="008D5567">
        <w:rPr>
          <w:bCs/>
          <w:caps/>
        </w:rPr>
        <w:tab/>
      </w:r>
      <w:r w:rsidR="00D66C90" w:rsidRPr="008D5567">
        <w:rPr>
          <w:bCs/>
        </w:rPr>
        <w:t>Shell Energy North America (US)</w:t>
      </w:r>
      <w:r w:rsidR="00933C54" w:rsidRPr="008D5567">
        <w:rPr>
          <w:bCs/>
        </w:rPr>
        <w:t>,</w:t>
      </w:r>
      <w:r w:rsidR="00D66C90" w:rsidRPr="008D5567">
        <w:rPr>
          <w:bCs/>
        </w:rPr>
        <w:t xml:space="preserve"> L</w:t>
      </w:r>
      <w:r w:rsidR="00933C54" w:rsidRPr="008D5567">
        <w:rPr>
          <w:bCs/>
        </w:rPr>
        <w:t>.</w:t>
      </w:r>
      <w:r w:rsidR="00D66C90" w:rsidRPr="008D5567">
        <w:rPr>
          <w:bCs/>
        </w:rPr>
        <w:t>P</w:t>
      </w:r>
      <w:r w:rsidR="00933C54" w:rsidRPr="008D5567">
        <w:rPr>
          <w:bCs/>
        </w:rPr>
        <w:t>.</w:t>
      </w:r>
      <w:r w:rsidR="00D66C90" w:rsidRPr="008D5567">
        <w:rPr>
          <w:bCs/>
        </w:rPr>
        <w:t xml:space="preserve"> (“Shell Energy”)</w:t>
      </w:r>
      <w:r w:rsidR="009D4E5D" w:rsidRPr="008D5567">
        <w:rPr>
          <w:bCs/>
        </w:rPr>
        <w:t xml:space="preserve"> appreciates the opportunity to</w:t>
      </w:r>
      <w:r w:rsidRPr="008D5567">
        <w:rPr>
          <w:bCs/>
        </w:rPr>
        <w:t xml:space="preserve"> provide </w:t>
      </w:r>
      <w:r w:rsidR="00945EC1" w:rsidRPr="008D5567">
        <w:rPr>
          <w:bCs/>
        </w:rPr>
        <w:t xml:space="preserve">reply </w:t>
      </w:r>
      <w:r w:rsidR="009D4E5D" w:rsidRPr="008D5567">
        <w:rPr>
          <w:bCs/>
        </w:rPr>
        <w:t>comments</w:t>
      </w:r>
      <w:r w:rsidRPr="008D5567">
        <w:rPr>
          <w:bCs/>
        </w:rPr>
        <w:t xml:space="preserve"> in response to questions provided by the Staff (“Staff”) of the Public Utility Commission of Texas (“Commission”) </w:t>
      </w:r>
      <w:r w:rsidR="004C1430" w:rsidRPr="008D5567">
        <w:rPr>
          <w:bCs/>
        </w:rPr>
        <w:t xml:space="preserve">regarding </w:t>
      </w:r>
      <w:r w:rsidR="00283147" w:rsidRPr="008D5567">
        <w:rPr>
          <w:bCs/>
        </w:rPr>
        <w:t xml:space="preserve">a </w:t>
      </w:r>
      <w:r w:rsidR="00655727" w:rsidRPr="008D5567">
        <w:rPr>
          <w:bCs/>
        </w:rPr>
        <w:t>Reliability Standard for ERCOT Market</w:t>
      </w:r>
      <w:r w:rsidR="00BB52EE" w:rsidRPr="008D5567">
        <w:rPr>
          <w:bCs/>
        </w:rPr>
        <w:t xml:space="preserve">. </w:t>
      </w:r>
      <w:r w:rsidR="00CC0E9B" w:rsidRPr="008D5567">
        <w:rPr>
          <w:bCs/>
        </w:rPr>
        <w:t>Shell Energy has a widespread stake in the electricity market, spanning retail interests, thermal generation ownership, energy scheduling, renewable and emerging technology development, risk management services</w:t>
      </w:r>
      <w:r w:rsidR="00305D93" w:rsidRPr="008D5567">
        <w:rPr>
          <w:bCs/>
        </w:rPr>
        <w:t xml:space="preserve"> and </w:t>
      </w:r>
      <w:r w:rsidR="00D96199" w:rsidRPr="008D5567">
        <w:rPr>
          <w:bCs/>
        </w:rPr>
        <w:t>end use energy consumption</w:t>
      </w:r>
      <w:r w:rsidR="00CC0E9B" w:rsidRPr="008D5567">
        <w:rPr>
          <w:bCs/>
        </w:rPr>
        <w:t xml:space="preserve">. Given the wide array of interests, Shell Energy advocates </w:t>
      </w:r>
      <w:r w:rsidR="00283147" w:rsidRPr="008D5567">
        <w:rPr>
          <w:bCs/>
        </w:rPr>
        <w:t xml:space="preserve">for and supports </w:t>
      </w:r>
      <w:r w:rsidR="00CC0E9B" w:rsidRPr="008D5567">
        <w:rPr>
          <w:bCs/>
        </w:rPr>
        <w:t xml:space="preserve">transparent, competitive, technology-neutral market-based solutions </w:t>
      </w:r>
      <w:r w:rsidR="00283147" w:rsidRPr="008D5567">
        <w:rPr>
          <w:bCs/>
        </w:rPr>
        <w:t>to</w:t>
      </w:r>
      <w:r w:rsidR="00CC0E9B" w:rsidRPr="008D5567">
        <w:rPr>
          <w:bCs/>
        </w:rPr>
        <w:t xml:space="preserve"> achieve desired reliability objectives at the lowest cost.</w:t>
      </w:r>
      <w:r w:rsidR="006D5231" w:rsidRPr="008D5567">
        <w:rPr>
          <w:bCs/>
        </w:rPr>
        <w:t xml:space="preserve"> </w:t>
      </w:r>
      <w:r w:rsidR="00D66C90" w:rsidRPr="008D5567">
        <w:rPr>
          <w:bCs/>
        </w:rPr>
        <w:t>Shell Energy</w:t>
      </w:r>
      <w:r w:rsidR="00B14735" w:rsidRPr="008D5567">
        <w:rPr>
          <w:bCs/>
        </w:rPr>
        <w:t xml:space="preserve"> greatly appreciate</w:t>
      </w:r>
      <w:r w:rsidR="00D66C90" w:rsidRPr="008D5567">
        <w:rPr>
          <w:bCs/>
        </w:rPr>
        <w:t>s</w:t>
      </w:r>
      <w:r w:rsidR="00B14735" w:rsidRPr="008D5567">
        <w:rPr>
          <w:bCs/>
        </w:rPr>
        <w:t xml:space="preserve"> the Commission and Staff’s hard work on these critically important matters and </w:t>
      </w:r>
      <w:r w:rsidR="00816B7C" w:rsidRPr="008D5567">
        <w:rPr>
          <w:bCs/>
        </w:rPr>
        <w:t>is</w:t>
      </w:r>
      <w:r w:rsidR="00B14735" w:rsidRPr="008D5567">
        <w:rPr>
          <w:bCs/>
        </w:rPr>
        <w:t xml:space="preserve"> grateful for the opportunity to provide input. </w:t>
      </w:r>
      <w:r w:rsidR="00D66C90" w:rsidRPr="008D5567">
        <w:rPr>
          <w:bCs/>
        </w:rPr>
        <w:t>Shell Energy</w:t>
      </w:r>
      <w:r w:rsidR="00B14735" w:rsidRPr="008D5567">
        <w:rPr>
          <w:bCs/>
        </w:rPr>
        <w:t xml:space="preserve"> looks forward to further discussion and opportunities to provide </w:t>
      </w:r>
      <w:r w:rsidR="00816B7C" w:rsidRPr="008D5567">
        <w:rPr>
          <w:bCs/>
        </w:rPr>
        <w:t>its</w:t>
      </w:r>
      <w:r w:rsidR="00B14735" w:rsidRPr="008D5567">
        <w:rPr>
          <w:bCs/>
        </w:rPr>
        <w:t xml:space="preserve"> perspective on these significant issues as we move forward.</w:t>
      </w:r>
      <w:r w:rsidR="007E373A" w:rsidRPr="008D5567">
        <w:rPr>
          <w:bCs/>
        </w:rPr>
        <w:t xml:space="preserve"> </w:t>
      </w:r>
    </w:p>
    <w:p w14:paraId="406E7BA6" w14:textId="795BEB72" w:rsidR="008F0DDF" w:rsidRPr="008D5567" w:rsidRDefault="008F0DDF" w:rsidP="008F0DDF">
      <w:pPr>
        <w:suppressAutoHyphens w:val="0"/>
        <w:spacing w:line="360" w:lineRule="auto"/>
        <w:jc w:val="center"/>
        <w:rPr>
          <w:b/>
          <w:bCs/>
          <w:iCs/>
        </w:rPr>
      </w:pPr>
      <w:r w:rsidRPr="008D5567">
        <w:rPr>
          <w:b/>
          <w:bCs/>
          <w:iCs/>
        </w:rPr>
        <w:t>II.</w:t>
      </w:r>
      <w:r w:rsidRPr="008D5567">
        <w:rPr>
          <w:b/>
          <w:bCs/>
          <w:iCs/>
        </w:rPr>
        <w:tab/>
      </w:r>
      <w:r w:rsidR="002070BC" w:rsidRPr="008D5567">
        <w:rPr>
          <w:b/>
          <w:bCs/>
          <w:iCs/>
        </w:rPr>
        <w:t xml:space="preserve">REPLY </w:t>
      </w:r>
      <w:r w:rsidR="00851F15" w:rsidRPr="008D5567">
        <w:rPr>
          <w:b/>
          <w:bCs/>
          <w:iCs/>
        </w:rPr>
        <w:t>COMMENTS</w:t>
      </w:r>
    </w:p>
    <w:p w14:paraId="0A47CB51" w14:textId="77777777" w:rsidR="00340DF8" w:rsidRPr="008D5567" w:rsidRDefault="00340DF8" w:rsidP="00340DF8">
      <w:pPr>
        <w:spacing w:line="360" w:lineRule="auto"/>
        <w:jc w:val="both"/>
        <w:rPr>
          <w:bCs/>
        </w:rPr>
      </w:pPr>
    </w:p>
    <w:p w14:paraId="351EFE88" w14:textId="52B6E255" w:rsidR="00340DF8" w:rsidRPr="008D5567" w:rsidRDefault="007D0942" w:rsidP="00340DF8">
      <w:pPr>
        <w:spacing w:line="360" w:lineRule="auto"/>
        <w:jc w:val="both"/>
        <w:rPr>
          <w:b/>
          <w:i/>
          <w:iCs/>
        </w:rPr>
      </w:pPr>
      <w:r w:rsidRPr="008D5567">
        <w:rPr>
          <w:b/>
          <w:i/>
          <w:iCs/>
        </w:rPr>
        <w:t>R</w:t>
      </w:r>
      <w:r w:rsidR="00340DF8" w:rsidRPr="008D5567">
        <w:rPr>
          <w:b/>
          <w:i/>
          <w:iCs/>
        </w:rPr>
        <w:t>etaining 1-in-</w:t>
      </w:r>
      <w:proofErr w:type="gramStart"/>
      <w:r w:rsidR="00340DF8" w:rsidRPr="008D5567">
        <w:rPr>
          <w:b/>
          <w:i/>
          <w:iCs/>
        </w:rPr>
        <w:t>10 year</w:t>
      </w:r>
      <w:proofErr w:type="gramEnd"/>
      <w:r w:rsidR="00340DF8" w:rsidRPr="008D5567">
        <w:rPr>
          <w:b/>
          <w:i/>
          <w:iCs/>
        </w:rPr>
        <w:t xml:space="preserve"> Loss of Load Event (LOLE) Standard</w:t>
      </w:r>
      <w:r w:rsidRPr="008D5567">
        <w:rPr>
          <w:b/>
          <w:i/>
          <w:iCs/>
        </w:rPr>
        <w:t xml:space="preserve"> is </w:t>
      </w:r>
      <w:r w:rsidR="0087668C" w:rsidRPr="008D5567">
        <w:rPr>
          <w:b/>
          <w:i/>
          <w:iCs/>
        </w:rPr>
        <w:t>inefficient</w:t>
      </w:r>
      <w:r w:rsidR="0002315F" w:rsidRPr="008D5567">
        <w:rPr>
          <w:b/>
          <w:i/>
          <w:iCs/>
        </w:rPr>
        <w:t>:</w:t>
      </w:r>
    </w:p>
    <w:p w14:paraId="082D6236" w14:textId="032F04E5" w:rsidR="002B1566" w:rsidRPr="008D5567" w:rsidRDefault="0028626E" w:rsidP="00FD55C2">
      <w:pPr>
        <w:spacing w:line="360" w:lineRule="auto"/>
        <w:ind w:firstLine="720"/>
        <w:jc w:val="both"/>
        <w:rPr>
          <w:b/>
          <w:bCs/>
        </w:rPr>
      </w:pPr>
      <w:r w:rsidRPr="008D5567">
        <w:rPr>
          <w:bCs/>
        </w:rPr>
        <w:t>Shell Energy reiterates that a reliability standard that is based on a mandatory procurement of capacity (MW) is contrary to an energy-only market design. Energy and Ancillary Service markets c</w:t>
      </w:r>
      <w:r w:rsidR="00746FE4" w:rsidRPr="008D5567">
        <w:rPr>
          <w:bCs/>
        </w:rPr>
        <w:t>an</w:t>
      </w:r>
      <w:r w:rsidRPr="008D5567">
        <w:rPr>
          <w:bCs/>
        </w:rPr>
        <w:t xml:space="preserve"> be modified to meet a target Reliability standard to ensure resource adequacy.  </w:t>
      </w:r>
      <w:r w:rsidR="00DC4207" w:rsidRPr="008D5567">
        <w:rPr>
          <w:bCs/>
        </w:rPr>
        <w:t xml:space="preserve">For </w:t>
      </w:r>
      <w:r w:rsidR="00D90D78" w:rsidRPr="008D5567">
        <w:rPr>
          <w:bCs/>
        </w:rPr>
        <w:t>the</w:t>
      </w:r>
      <w:r w:rsidR="00DC4207" w:rsidRPr="008D5567">
        <w:rPr>
          <w:bCs/>
        </w:rPr>
        <w:t xml:space="preserve"> target reliability standard, </w:t>
      </w:r>
      <w:r w:rsidR="009A28BE" w:rsidRPr="008D5567">
        <w:rPr>
          <w:bCs/>
        </w:rPr>
        <w:t xml:space="preserve">Shell Energy </w:t>
      </w:r>
      <w:r w:rsidR="00F154C1" w:rsidRPr="008D5567">
        <w:rPr>
          <w:bCs/>
        </w:rPr>
        <w:t>disagree</w:t>
      </w:r>
      <w:r w:rsidR="009A28BE" w:rsidRPr="008D5567">
        <w:rPr>
          <w:bCs/>
        </w:rPr>
        <w:t>s</w:t>
      </w:r>
      <w:r w:rsidR="00F154C1" w:rsidRPr="008D5567">
        <w:rPr>
          <w:bCs/>
        </w:rPr>
        <w:t xml:space="preserve"> with </w:t>
      </w:r>
      <w:r w:rsidR="00DC4207" w:rsidRPr="008D5567">
        <w:rPr>
          <w:bCs/>
        </w:rPr>
        <w:t xml:space="preserve">other </w:t>
      </w:r>
      <w:r w:rsidR="00F154C1" w:rsidRPr="008D5567">
        <w:rPr>
          <w:bCs/>
        </w:rPr>
        <w:t>comment</w:t>
      </w:r>
      <w:r w:rsidR="00DC4207" w:rsidRPr="008D5567">
        <w:rPr>
          <w:bCs/>
        </w:rPr>
        <w:t>or</w:t>
      </w:r>
      <w:r w:rsidR="00F154C1" w:rsidRPr="008D5567">
        <w:rPr>
          <w:bCs/>
        </w:rPr>
        <w:t xml:space="preserve">s that </w:t>
      </w:r>
      <w:r w:rsidR="00F70197" w:rsidRPr="008D5567">
        <w:rPr>
          <w:bCs/>
        </w:rPr>
        <w:t>request</w:t>
      </w:r>
      <w:r w:rsidR="00F154C1" w:rsidRPr="008D5567">
        <w:rPr>
          <w:bCs/>
        </w:rPr>
        <w:t xml:space="preserve"> </w:t>
      </w:r>
      <w:r w:rsidR="00BB15F6" w:rsidRPr="008D5567">
        <w:rPr>
          <w:bCs/>
        </w:rPr>
        <w:t xml:space="preserve">the </w:t>
      </w:r>
      <w:r w:rsidR="00F154C1" w:rsidRPr="008D5567">
        <w:rPr>
          <w:bCs/>
        </w:rPr>
        <w:t>Commission retain the 1-in-</w:t>
      </w:r>
      <w:proofErr w:type="gramStart"/>
      <w:r w:rsidR="00F154C1" w:rsidRPr="008D5567">
        <w:rPr>
          <w:bCs/>
        </w:rPr>
        <w:t>10 year</w:t>
      </w:r>
      <w:proofErr w:type="gramEnd"/>
      <w:r w:rsidR="00F154C1" w:rsidRPr="008D5567">
        <w:rPr>
          <w:bCs/>
        </w:rPr>
        <w:t xml:space="preserve"> LOLE Standard.  </w:t>
      </w:r>
      <w:r w:rsidR="0093359F" w:rsidRPr="008D5567">
        <w:rPr>
          <w:bCs/>
        </w:rPr>
        <w:t>T</w:t>
      </w:r>
      <w:r w:rsidR="00F154C1" w:rsidRPr="008D5567">
        <w:rPr>
          <w:bCs/>
        </w:rPr>
        <w:t xml:space="preserve">he traditional LOLE Standard does not capture the magnitude or duration of a </w:t>
      </w:r>
      <w:r w:rsidR="0093359F" w:rsidRPr="008D5567">
        <w:rPr>
          <w:bCs/>
        </w:rPr>
        <w:t xml:space="preserve">loss of </w:t>
      </w:r>
      <w:r w:rsidR="00F154C1" w:rsidRPr="008D5567">
        <w:rPr>
          <w:bCs/>
        </w:rPr>
        <w:t>load event</w:t>
      </w:r>
      <w:r w:rsidR="00101765" w:rsidRPr="008D5567">
        <w:rPr>
          <w:bCs/>
        </w:rPr>
        <w:t xml:space="preserve"> and </w:t>
      </w:r>
      <w:r w:rsidR="000F5452" w:rsidRPr="008D5567">
        <w:rPr>
          <w:bCs/>
        </w:rPr>
        <w:t xml:space="preserve">therefore will </w:t>
      </w:r>
      <w:r w:rsidR="002F2F1B" w:rsidRPr="008D5567">
        <w:rPr>
          <w:bCs/>
        </w:rPr>
        <w:t xml:space="preserve">distort the reliability needs of the system. </w:t>
      </w:r>
      <w:r w:rsidR="00C61DFE" w:rsidRPr="008D5567">
        <w:t xml:space="preserve">If a reserve margin-based resource adequacy reliability standard needs to be </w:t>
      </w:r>
      <w:r w:rsidR="00C61DFE" w:rsidRPr="008D5567">
        <w:lastRenderedPageBreak/>
        <w:t xml:space="preserve">developed then </w:t>
      </w:r>
      <w:r w:rsidR="00C61DFE" w:rsidRPr="008D5567">
        <w:rPr>
          <w:b/>
          <w:bCs/>
        </w:rPr>
        <w:t xml:space="preserve">a target reliability standard based on the Normalized Expected Unserved Energy (NEUE) is most reasonable as it </w:t>
      </w:r>
      <w:r w:rsidR="005540A6" w:rsidRPr="008D5567">
        <w:rPr>
          <w:b/>
          <w:bCs/>
        </w:rPr>
        <w:t>creates a boundary condition for</w:t>
      </w:r>
      <w:r w:rsidR="000F5513" w:rsidRPr="008D5567">
        <w:rPr>
          <w:b/>
          <w:bCs/>
        </w:rPr>
        <w:t xml:space="preserve"> the</w:t>
      </w:r>
      <w:r w:rsidR="005540A6" w:rsidRPr="008D5567">
        <w:rPr>
          <w:b/>
          <w:bCs/>
        </w:rPr>
        <w:t xml:space="preserve"> system </w:t>
      </w:r>
      <w:r w:rsidR="00122ABA" w:rsidRPr="008D5567">
        <w:rPr>
          <w:b/>
          <w:bCs/>
        </w:rPr>
        <w:t>based on</w:t>
      </w:r>
      <w:r w:rsidR="00C61DFE" w:rsidRPr="008D5567">
        <w:rPr>
          <w:b/>
          <w:bCs/>
        </w:rPr>
        <w:t xml:space="preserve"> frequency, duration, magnitude, probability, system size and cost of the event. </w:t>
      </w:r>
    </w:p>
    <w:p w14:paraId="2491D72F" w14:textId="77777777" w:rsidR="002D550D" w:rsidRPr="008D5567" w:rsidRDefault="002D550D" w:rsidP="00FD55C2">
      <w:pPr>
        <w:spacing w:line="360" w:lineRule="auto"/>
        <w:ind w:firstLine="720"/>
        <w:jc w:val="both"/>
        <w:rPr>
          <w:b/>
          <w:bCs/>
        </w:rPr>
      </w:pPr>
    </w:p>
    <w:p w14:paraId="0A7D18A6" w14:textId="77777777" w:rsidR="0032629C" w:rsidRPr="008D5567" w:rsidRDefault="0032629C" w:rsidP="009E4DCA">
      <w:pPr>
        <w:spacing w:line="360" w:lineRule="auto"/>
        <w:jc w:val="both"/>
        <w:rPr>
          <w:b/>
          <w:bCs/>
        </w:rPr>
      </w:pPr>
    </w:p>
    <w:p w14:paraId="34F36235" w14:textId="342A058D" w:rsidR="009E4DCA" w:rsidRPr="008D5567" w:rsidRDefault="009E4DCA" w:rsidP="009E4DCA">
      <w:pPr>
        <w:spacing w:line="360" w:lineRule="auto"/>
        <w:jc w:val="both"/>
        <w:rPr>
          <w:b/>
          <w:bCs/>
        </w:rPr>
      </w:pPr>
      <w:r w:rsidRPr="008D5567">
        <w:rPr>
          <w:b/>
          <w:i/>
          <w:iCs/>
        </w:rPr>
        <w:t>Disagree that EUE assumes a low</w:t>
      </w:r>
      <w:r w:rsidR="0081767D" w:rsidRPr="008D5567">
        <w:rPr>
          <w:b/>
          <w:i/>
          <w:iCs/>
        </w:rPr>
        <w:t>er</w:t>
      </w:r>
      <w:r w:rsidRPr="008D5567">
        <w:rPr>
          <w:b/>
          <w:i/>
          <w:iCs/>
        </w:rPr>
        <w:t xml:space="preserve"> level of reliability than 1-in-10 Year LOLE</w:t>
      </w:r>
      <w:r w:rsidR="0002315F" w:rsidRPr="008D5567">
        <w:rPr>
          <w:b/>
          <w:i/>
          <w:iCs/>
        </w:rPr>
        <w:t>:</w:t>
      </w:r>
    </w:p>
    <w:p w14:paraId="46C1CFC9" w14:textId="34F9BC17" w:rsidR="009127AB" w:rsidRPr="008D5567" w:rsidRDefault="00795A48" w:rsidP="009127AB">
      <w:pPr>
        <w:spacing w:line="360" w:lineRule="auto"/>
        <w:ind w:firstLine="720"/>
        <w:jc w:val="both"/>
        <w:rPr>
          <w:bCs/>
        </w:rPr>
      </w:pPr>
      <w:r w:rsidRPr="008D5567">
        <w:rPr>
          <w:bCs/>
        </w:rPr>
        <w:t xml:space="preserve">We disagree </w:t>
      </w:r>
      <w:r w:rsidR="003A1447" w:rsidRPr="008D5567">
        <w:rPr>
          <w:bCs/>
        </w:rPr>
        <w:t xml:space="preserve">with </w:t>
      </w:r>
      <w:r w:rsidRPr="008D5567">
        <w:rPr>
          <w:bCs/>
        </w:rPr>
        <w:t xml:space="preserve">other commentors </w:t>
      </w:r>
      <w:r w:rsidR="00B639F5" w:rsidRPr="008D5567">
        <w:rPr>
          <w:bCs/>
        </w:rPr>
        <w:t>arguments</w:t>
      </w:r>
      <w:r w:rsidRPr="008D5567">
        <w:rPr>
          <w:bCs/>
        </w:rPr>
        <w:t xml:space="preserve"> that </w:t>
      </w:r>
      <w:r w:rsidR="00C03568" w:rsidRPr="008D5567">
        <w:rPr>
          <w:bCs/>
        </w:rPr>
        <w:t>metrics like EUE assume a low</w:t>
      </w:r>
      <w:r w:rsidR="00AD6D21" w:rsidRPr="008D5567">
        <w:rPr>
          <w:bCs/>
        </w:rPr>
        <w:t>er</w:t>
      </w:r>
      <w:r w:rsidR="00C03568" w:rsidRPr="008D5567">
        <w:rPr>
          <w:bCs/>
        </w:rPr>
        <w:t xml:space="preserve"> </w:t>
      </w:r>
      <w:r w:rsidR="00B639F5" w:rsidRPr="008D5567">
        <w:rPr>
          <w:bCs/>
        </w:rPr>
        <w:t>level of reliability than 1-in-10 Year LOLE</w:t>
      </w:r>
      <w:r w:rsidR="007D6D9F" w:rsidRPr="008D5567">
        <w:rPr>
          <w:bCs/>
        </w:rPr>
        <w:t>. It is very clearly shown in</w:t>
      </w:r>
      <w:r w:rsidR="00B639F5" w:rsidRPr="008D5567">
        <w:rPr>
          <w:bCs/>
        </w:rPr>
        <w:t xml:space="preserve"> </w:t>
      </w:r>
      <w:r w:rsidR="004668E2" w:rsidRPr="008D5567">
        <w:rPr>
          <w:bCs/>
        </w:rPr>
        <w:t>HEN’s example</w:t>
      </w:r>
      <w:r w:rsidR="00BE11A8" w:rsidRPr="008D5567">
        <w:rPr>
          <w:bCs/>
        </w:rPr>
        <w:t xml:space="preserve"> </w:t>
      </w:r>
      <w:r w:rsidR="00BE11A8" w:rsidRPr="008D5567">
        <w:rPr>
          <w:bCs/>
          <w:i/>
          <w:iCs/>
        </w:rPr>
        <w:t>“</w:t>
      </w:r>
      <w:r w:rsidR="009127AB" w:rsidRPr="008D5567">
        <w:rPr>
          <w:bCs/>
          <w:i/>
          <w:iCs/>
        </w:rPr>
        <w:t>the grid experiencing 1 loss of load event every 10 years (Frequency) losing 10,000 MW (Magnitude) for 10 hours (Duration) would have an EUE= 0.1 x 10,000 x 10 = 10,000MWh. Similarly, the grid experiencing</w:t>
      </w:r>
      <w:r w:rsidR="00E15601" w:rsidRPr="008D5567">
        <w:rPr>
          <w:bCs/>
          <w:i/>
          <w:iCs/>
        </w:rPr>
        <w:t xml:space="preserve"> </w:t>
      </w:r>
      <w:r w:rsidR="009127AB" w:rsidRPr="008D5567">
        <w:rPr>
          <w:bCs/>
          <w:i/>
          <w:iCs/>
        </w:rPr>
        <w:t xml:space="preserve">10 loss of load events every 10 years (Frequency) losing 100 MW (Magnitude) for 10 hours (Duration) would have an EUE = 1 x 1,000 x 10 = 10,000 MWh. Although the grid would meet </w:t>
      </w:r>
      <w:r w:rsidR="00FC616E" w:rsidRPr="008D5567">
        <w:rPr>
          <w:bCs/>
          <w:i/>
          <w:iCs/>
        </w:rPr>
        <w:t>a</w:t>
      </w:r>
      <w:r w:rsidR="009127AB" w:rsidRPr="008D5567">
        <w:rPr>
          <w:bCs/>
          <w:i/>
          <w:iCs/>
        </w:rPr>
        <w:t xml:space="preserve"> LOLE reliability standard of 0.1 day/year for the first example, it would fail the LOLE standard for the second example, even though the second scenario may be much less impactful to grid operations and easily managed by ERCOT (ERCOT maintains 1,000 MW of reserves even when shedding firm load). This example shows the shortcomings of the LOLE standard while demonstrating how the EUE standard creates a boundary that these three metrics must meet in combination.</w:t>
      </w:r>
      <w:r w:rsidR="009127AB" w:rsidRPr="008D5567">
        <w:rPr>
          <w:bCs/>
          <w:i/>
          <w:iCs/>
          <w:vertAlign w:val="superscript"/>
        </w:rPr>
        <w:footnoteReference w:id="1"/>
      </w:r>
      <w:r w:rsidR="00BE11A8" w:rsidRPr="008D5567">
        <w:rPr>
          <w:bCs/>
          <w:i/>
          <w:iCs/>
        </w:rPr>
        <w:t>”</w:t>
      </w:r>
      <w:r w:rsidR="00E15601" w:rsidRPr="008D5567">
        <w:rPr>
          <w:bCs/>
        </w:rPr>
        <w:t xml:space="preserve"> ERCOT has roughly over 7GWs of </w:t>
      </w:r>
      <w:r w:rsidR="00C32501" w:rsidRPr="008D5567">
        <w:rPr>
          <w:bCs/>
        </w:rPr>
        <w:t xml:space="preserve">different forms of demand response that </w:t>
      </w:r>
      <w:r w:rsidR="00FC616E" w:rsidRPr="008D5567">
        <w:rPr>
          <w:bCs/>
        </w:rPr>
        <w:t xml:space="preserve">is more than </w:t>
      </w:r>
      <w:r w:rsidR="008F7DCC" w:rsidRPr="008D5567">
        <w:rPr>
          <w:bCs/>
        </w:rPr>
        <w:t xml:space="preserve">sufficient </w:t>
      </w:r>
      <w:r w:rsidR="00FC616E" w:rsidRPr="008D5567">
        <w:rPr>
          <w:bCs/>
        </w:rPr>
        <w:t xml:space="preserve">to </w:t>
      </w:r>
      <w:r w:rsidR="00C32501" w:rsidRPr="008D5567">
        <w:rPr>
          <w:bCs/>
        </w:rPr>
        <w:t xml:space="preserve">cover a </w:t>
      </w:r>
      <w:r w:rsidR="00DB01C1" w:rsidRPr="008D5567">
        <w:rPr>
          <w:bCs/>
        </w:rPr>
        <w:t>small</w:t>
      </w:r>
      <w:r w:rsidR="00FC616E" w:rsidRPr="008D5567">
        <w:rPr>
          <w:bCs/>
        </w:rPr>
        <w:t xml:space="preserve"> </w:t>
      </w:r>
      <w:r w:rsidR="00A21041" w:rsidRPr="008D5567">
        <w:rPr>
          <w:bCs/>
        </w:rPr>
        <w:t xml:space="preserve">shortage </w:t>
      </w:r>
      <w:r w:rsidR="00DB01C1" w:rsidRPr="008D5567">
        <w:rPr>
          <w:bCs/>
        </w:rPr>
        <w:t xml:space="preserve">event </w:t>
      </w:r>
      <w:r w:rsidR="00FC616E" w:rsidRPr="008D5567">
        <w:rPr>
          <w:bCs/>
        </w:rPr>
        <w:t xml:space="preserve">but not </w:t>
      </w:r>
      <w:r w:rsidR="00A21041" w:rsidRPr="008D5567">
        <w:rPr>
          <w:bCs/>
        </w:rPr>
        <w:t>enough</w:t>
      </w:r>
      <w:r w:rsidR="00D25C32" w:rsidRPr="008D5567">
        <w:rPr>
          <w:bCs/>
        </w:rPr>
        <w:t xml:space="preserve"> to cover a</w:t>
      </w:r>
      <w:r w:rsidR="00A21041" w:rsidRPr="008D5567">
        <w:rPr>
          <w:bCs/>
        </w:rPr>
        <w:t xml:space="preserve"> </w:t>
      </w:r>
      <w:r w:rsidR="00DB01C1" w:rsidRPr="008D5567">
        <w:rPr>
          <w:bCs/>
        </w:rPr>
        <w:t>large shortage event</w:t>
      </w:r>
      <w:r w:rsidR="0024265D" w:rsidRPr="008D5567">
        <w:rPr>
          <w:bCs/>
        </w:rPr>
        <w:t xml:space="preserve">. LOLE would have shown </w:t>
      </w:r>
      <w:r w:rsidR="001F4C1E" w:rsidRPr="008D5567">
        <w:rPr>
          <w:bCs/>
        </w:rPr>
        <w:t>the system to be unreliab</w:t>
      </w:r>
      <w:r w:rsidR="00F659DA" w:rsidRPr="008D5567">
        <w:rPr>
          <w:bCs/>
        </w:rPr>
        <w:t>le</w:t>
      </w:r>
      <w:r w:rsidR="001F4C1E" w:rsidRPr="008D5567">
        <w:rPr>
          <w:bCs/>
        </w:rPr>
        <w:t xml:space="preserve"> even with the possibility</w:t>
      </w:r>
      <w:r w:rsidR="00DD4E0E" w:rsidRPr="008D5567">
        <w:rPr>
          <w:bCs/>
        </w:rPr>
        <w:t xml:space="preserve"> of two</w:t>
      </w:r>
      <w:r w:rsidR="0024265D" w:rsidRPr="008D5567">
        <w:rPr>
          <w:bCs/>
        </w:rPr>
        <w:t xml:space="preserve"> small shortages </w:t>
      </w:r>
      <w:r w:rsidR="00DD4E0E" w:rsidRPr="008D5567">
        <w:rPr>
          <w:bCs/>
        </w:rPr>
        <w:t>in 10 years</w:t>
      </w:r>
      <w:r w:rsidR="00E64D11" w:rsidRPr="008D5567">
        <w:rPr>
          <w:bCs/>
        </w:rPr>
        <w:t xml:space="preserve"> but would have shown the system to be reliab</w:t>
      </w:r>
      <w:r w:rsidR="002A46CA" w:rsidRPr="008D5567">
        <w:rPr>
          <w:bCs/>
        </w:rPr>
        <w:t>le</w:t>
      </w:r>
      <w:r w:rsidR="00E64D11" w:rsidRPr="008D5567">
        <w:rPr>
          <w:bCs/>
        </w:rPr>
        <w:t xml:space="preserve"> even with the possibility </w:t>
      </w:r>
      <w:r w:rsidR="00D73999" w:rsidRPr="008D5567">
        <w:rPr>
          <w:bCs/>
        </w:rPr>
        <w:t>of a significantly large event once every 10 years.</w:t>
      </w:r>
      <w:r w:rsidR="00FA6F6E" w:rsidRPr="008D5567">
        <w:rPr>
          <w:bCs/>
        </w:rPr>
        <w:t xml:space="preserve"> </w:t>
      </w:r>
      <w:r w:rsidR="00CB27F0" w:rsidRPr="008D5567">
        <w:rPr>
          <w:bCs/>
        </w:rPr>
        <w:t xml:space="preserve">These results are misleading.  </w:t>
      </w:r>
      <w:r w:rsidR="00516926" w:rsidRPr="008D5567">
        <w:rPr>
          <w:bCs/>
        </w:rPr>
        <w:t>O</w:t>
      </w:r>
      <w:r w:rsidR="007D4C24" w:rsidRPr="008D5567">
        <w:rPr>
          <w:bCs/>
        </w:rPr>
        <w:t>n the other hand</w:t>
      </w:r>
      <w:r w:rsidR="00516926" w:rsidRPr="008D5567">
        <w:rPr>
          <w:bCs/>
        </w:rPr>
        <w:t>,</w:t>
      </w:r>
      <w:r w:rsidR="007D4C24" w:rsidRPr="008D5567">
        <w:rPr>
          <w:bCs/>
        </w:rPr>
        <w:t xml:space="preserve"> </w:t>
      </w:r>
      <w:r w:rsidR="00516926" w:rsidRPr="008D5567">
        <w:rPr>
          <w:b/>
        </w:rPr>
        <w:t xml:space="preserve">NEUE </w:t>
      </w:r>
      <w:r w:rsidR="007D4C24" w:rsidRPr="008D5567">
        <w:rPr>
          <w:b/>
        </w:rPr>
        <w:t xml:space="preserve">accurately </w:t>
      </w:r>
      <w:r w:rsidR="00A963EA" w:rsidRPr="008D5567">
        <w:rPr>
          <w:b/>
        </w:rPr>
        <w:t>characterize</w:t>
      </w:r>
      <w:r w:rsidR="00516926" w:rsidRPr="008D5567">
        <w:rPr>
          <w:b/>
        </w:rPr>
        <w:t>s</w:t>
      </w:r>
      <w:r w:rsidR="00A963EA" w:rsidRPr="008D5567">
        <w:rPr>
          <w:b/>
        </w:rPr>
        <w:t xml:space="preserve"> reliability based on the</w:t>
      </w:r>
      <w:r w:rsidR="00FA6F6E" w:rsidRPr="008D5567">
        <w:rPr>
          <w:b/>
        </w:rPr>
        <w:t xml:space="preserve"> impact to </w:t>
      </w:r>
      <w:r w:rsidR="00A963EA" w:rsidRPr="008D5567">
        <w:rPr>
          <w:b/>
        </w:rPr>
        <w:t xml:space="preserve">the load being served and hence </w:t>
      </w:r>
      <w:r w:rsidR="006F1FAC" w:rsidRPr="008D5567">
        <w:rPr>
          <w:b/>
        </w:rPr>
        <w:t xml:space="preserve">is a better metric to use when </w:t>
      </w:r>
      <w:r w:rsidR="00516926" w:rsidRPr="008D5567">
        <w:rPr>
          <w:b/>
        </w:rPr>
        <w:t>determining the cost-benefit of actions to be taken to improve reliability.</w:t>
      </w:r>
      <w:r w:rsidR="00516926" w:rsidRPr="008D5567">
        <w:rPr>
          <w:bCs/>
        </w:rPr>
        <w:t xml:space="preserve"> </w:t>
      </w:r>
    </w:p>
    <w:p w14:paraId="3FCE7B62" w14:textId="5440139E" w:rsidR="00015AD4" w:rsidRPr="008D5567" w:rsidRDefault="00A84AF0" w:rsidP="00015AD4">
      <w:pPr>
        <w:spacing w:line="360" w:lineRule="auto"/>
        <w:ind w:firstLine="720"/>
        <w:jc w:val="both"/>
        <w:rPr>
          <w:bCs/>
        </w:rPr>
      </w:pPr>
      <w:r w:rsidRPr="008D5567">
        <w:rPr>
          <w:bCs/>
        </w:rPr>
        <w:t>A</w:t>
      </w:r>
      <w:r w:rsidR="00D7785B" w:rsidRPr="008D5567">
        <w:rPr>
          <w:bCs/>
        </w:rPr>
        <w:t xml:space="preserve"> 1 day in </w:t>
      </w:r>
      <w:proofErr w:type="gramStart"/>
      <w:r w:rsidR="00D7785B" w:rsidRPr="008D5567">
        <w:rPr>
          <w:bCs/>
        </w:rPr>
        <w:t>10 year</w:t>
      </w:r>
      <w:proofErr w:type="gramEnd"/>
      <w:r w:rsidR="00D7785B" w:rsidRPr="008D5567">
        <w:rPr>
          <w:bCs/>
        </w:rPr>
        <w:t xml:space="preserve"> (or 2.4 hour per 8760 hours in a year) measure produces an error rate of approximately 0.02% of all hours.  </w:t>
      </w:r>
      <w:r w:rsidR="00D7785B" w:rsidRPr="008D5567">
        <w:rPr>
          <w:b/>
        </w:rPr>
        <w:t>In statistical quality control that rate of error would equal a 3.5 standard deviation from normal operations.</w:t>
      </w:r>
      <w:r w:rsidR="00D7785B" w:rsidRPr="008D5567">
        <w:rPr>
          <w:bCs/>
        </w:rPr>
        <w:t xml:space="preserve">  If we apply that same risk to the energy served by ERCOT to its customers, we </w:t>
      </w:r>
      <w:r w:rsidR="005228BF" w:rsidRPr="008D5567">
        <w:rPr>
          <w:bCs/>
        </w:rPr>
        <w:t>will</w:t>
      </w:r>
      <w:r w:rsidR="00F33211" w:rsidRPr="008D5567">
        <w:rPr>
          <w:bCs/>
        </w:rPr>
        <w:t xml:space="preserve"> </w:t>
      </w:r>
      <w:r w:rsidR="00FF3EEC" w:rsidRPr="008D5567">
        <w:rPr>
          <w:bCs/>
        </w:rPr>
        <w:t>get the</w:t>
      </w:r>
      <w:r w:rsidR="00D7785B" w:rsidRPr="008D5567">
        <w:rPr>
          <w:bCs/>
        </w:rPr>
        <w:t xml:space="preserve"> same level of</w:t>
      </w:r>
      <w:r w:rsidR="00F33211" w:rsidRPr="008D5567">
        <w:rPr>
          <w:bCs/>
        </w:rPr>
        <w:t xml:space="preserve"> </w:t>
      </w:r>
      <w:r w:rsidR="00D7785B" w:rsidRPr="008D5567">
        <w:rPr>
          <w:bCs/>
        </w:rPr>
        <w:t xml:space="preserve">statistical and operational </w:t>
      </w:r>
      <w:r w:rsidR="00134443" w:rsidRPr="008D5567">
        <w:rPr>
          <w:bCs/>
        </w:rPr>
        <w:t>risk expressed</w:t>
      </w:r>
      <w:r w:rsidR="00D7785B" w:rsidRPr="008D5567">
        <w:rPr>
          <w:bCs/>
        </w:rPr>
        <w:t xml:space="preserve"> in unserved energy rather than unserved hours of the year.</w:t>
      </w:r>
      <w:r w:rsidR="005228BF" w:rsidRPr="008D5567">
        <w:rPr>
          <w:bCs/>
        </w:rPr>
        <w:t xml:space="preserve"> I.e., </w:t>
      </w:r>
      <w:r w:rsidR="002D46F5" w:rsidRPr="008D5567">
        <w:rPr>
          <w:bCs/>
        </w:rPr>
        <w:t xml:space="preserve">From a </w:t>
      </w:r>
      <w:r w:rsidR="00A94012" w:rsidRPr="008D5567">
        <w:rPr>
          <w:bCs/>
        </w:rPr>
        <w:t xml:space="preserve">statistical </w:t>
      </w:r>
      <w:r w:rsidR="00A94012" w:rsidRPr="008D5567">
        <w:rPr>
          <w:bCs/>
        </w:rPr>
        <w:lastRenderedPageBreak/>
        <w:t xml:space="preserve">perspective, </w:t>
      </w:r>
      <w:r w:rsidR="005228BF" w:rsidRPr="008D5567">
        <w:rPr>
          <w:bCs/>
        </w:rPr>
        <w:t xml:space="preserve">A </w:t>
      </w:r>
      <w:r w:rsidR="002D46F5" w:rsidRPr="008D5567">
        <w:rPr>
          <w:bCs/>
        </w:rPr>
        <w:t xml:space="preserve">0.02% NEUE gives you the same level of </w:t>
      </w:r>
      <w:r w:rsidR="005228BF" w:rsidRPr="008D5567">
        <w:rPr>
          <w:bCs/>
        </w:rPr>
        <w:t>reliability</w:t>
      </w:r>
      <w:r w:rsidR="00A94012" w:rsidRPr="008D5567">
        <w:rPr>
          <w:bCs/>
        </w:rPr>
        <w:t xml:space="preserve"> as a</w:t>
      </w:r>
      <w:r w:rsidR="005228BF" w:rsidRPr="008D5567">
        <w:rPr>
          <w:bCs/>
        </w:rPr>
        <w:t xml:space="preserve"> </w:t>
      </w:r>
      <w:r w:rsidR="002D46F5" w:rsidRPr="008D5567">
        <w:rPr>
          <w:bCs/>
        </w:rPr>
        <w:t xml:space="preserve">1 day in </w:t>
      </w:r>
      <w:proofErr w:type="gramStart"/>
      <w:r w:rsidR="002D46F5" w:rsidRPr="008D5567">
        <w:rPr>
          <w:bCs/>
        </w:rPr>
        <w:t>10 year</w:t>
      </w:r>
      <w:proofErr w:type="gramEnd"/>
      <w:r w:rsidR="00A94012" w:rsidRPr="008D5567">
        <w:rPr>
          <w:bCs/>
        </w:rPr>
        <w:t xml:space="preserve"> reliability sta</w:t>
      </w:r>
      <w:r w:rsidR="00E16E57" w:rsidRPr="008D5567">
        <w:rPr>
          <w:bCs/>
        </w:rPr>
        <w:t>ndard. At the same time, NEUE reliability standard wou</w:t>
      </w:r>
      <w:r w:rsidR="00D7785B" w:rsidRPr="008D5567">
        <w:rPr>
          <w:bCs/>
        </w:rPr>
        <w:t>ld have the immediate advantage of allowing ERCOT to value unserved energy directly</w:t>
      </w:r>
      <w:r w:rsidR="008523CA" w:rsidRPr="008D5567">
        <w:rPr>
          <w:bCs/>
        </w:rPr>
        <w:t xml:space="preserve"> and </w:t>
      </w:r>
      <w:r w:rsidR="004A7DDD" w:rsidRPr="008D5567">
        <w:rPr>
          <w:bCs/>
        </w:rPr>
        <w:t xml:space="preserve">better account for </w:t>
      </w:r>
      <w:r w:rsidR="00E27A02" w:rsidRPr="008D5567">
        <w:rPr>
          <w:bCs/>
        </w:rPr>
        <w:t xml:space="preserve">the </w:t>
      </w:r>
      <w:r w:rsidR="004A7DDD" w:rsidRPr="008D5567">
        <w:rPr>
          <w:bCs/>
        </w:rPr>
        <w:t>cost-benefit of actions to be taken to improve reliability.</w:t>
      </w:r>
      <w:r w:rsidR="000A4806" w:rsidRPr="008D5567">
        <w:rPr>
          <w:bCs/>
        </w:rPr>
        <w:t xml:space="preserve"> </w:t>
      </w:r>
      <w:r w:rsidR="00015AD4" w:rsidRPr="008D5567">
        <w:rPr>
          <w:bCs/>
        </w:rPr>
        <w:t xml:space="preserve">A target </w:t>
      </w:r>
      <w:r w:rsidR="00C85672" w:rsidRPr="008D5567">
        <w:rPr>
          <w:bCs/>
        </w:rPr>
        <w:t xml:space="preserve">0.002% </w:t>
      </w:r>
      <w:r w:rsidR="00015AD4" w:rsidRPr="008D5567">
        <w:rPr>
          <w:bCs/>
        </w:rPr>
        <w:t xml:space="preserve">NEUE </w:t>
      </w:r>
      <w:r w:rsidR="00F625D5" w:rsidRPr="008D5567">
        <w:rPr>
          <w:bCs/>
        </w:rPr>
        <w:t xml:space="preserve">reliability standard </w:t>
      </w:r>
      <w:r w:rsidR="00015AD4" w:rsidRPr="008D5567">
        <w:rPr>
          <w:bCs/>
        </w:rPr>
        <w:t xml:space="preserve">as used in Australia is </w:t>
      </w:r>
      <w:r w:rsidR="00C85672" w:rsidRPr="008D5567">
        <w:rPr>
          <w:bCs/>
        </w:rPr>
        <w:t>more</w:t>
      </w:r>
      <w:r w:rsidR="00F625D5" w:rsidRPr="008D5567">
        <w:rPr>
          <w:bCs/>
        </w:rPr>
        <w:t xml:space="preserve"> stringent</w:t>
      </w:r>
      <w:r w:rsidR="00C85672" w:rsidRPr="008D5567">
        <w:rPr>
          <w:bCs/>
        </w:rPr>
        <w:t xml:space="preserve"> </w:t>
      </w:r>
      <w:r w:rsidR="00F56F64" w:rsidRPr="008D5567">
        <w:rPr>
          <w:bCs/>
        </w:rPr>
        <w:t xml:space="preserve">by a factor </w:t>
      </w:r>
      <w:r w:rsidR="00194B2E" w:rsidRPr="008D5567">
        <w:rPr>
          <w:bCs/>
        </w:rPr>
        <w:t xml:space="preserve">of 10 in </w:t>
      </w:r>
      <w:r w:rsidR="00F56F64" w:rsidRPr="008D5567">
        <w:rPr>
          <w:bCs/>
        </w:rPr>
        <w:t>absolute magnitude</w:t>
      </w:r>
      <w:r w:rsidR="00015AD4" w:rsidRPr="008D5567">
        <w:rPr>
          <w:bCs/>
        </w:rPr>
        <w:t xml:space="preserve"> </w:t>
      </w:r>
      <w:r w:rsidR="00194B2E" w:rsidRPr="008D5567">
        <w:rPr>
          <w:bCs/>
        </w:rPr>
        <w:t xml:space="preserve">than a 1 day in </w:t>
      </w:r>
      <w:proofErr w:type="gramStart"/>
      <w:r w:rsidR="00194B2E" w:rsidRPr="008D5567">
        <w:rPr>
          <w:bCs/>
        </w:rPr>
        <w:t>10 year</w:t>
      </w:r>
      <w:proofErr w:type="gramEnd"/>
      <w:r w:rsidR="00194B2E" w:rsidRPr="008D5567">
        <w:rPr>
          <w:bCs/>
        </w:rPr>
        <w:t xml:space="preserve"> </w:t>
      </w:r>
      <w:r w:rsidR="000B6344" w:rsidRPr="008D5567">
        <w:rPr>
          <w:bCs/>
        </w:rPr>
        <w:t xml:space="preserve">reliability </w:t>
      </w:r>
      <w:r w:rsidR="00570943" w:rsidRPr="008D5567">
        <w:rPr>
          <w:bCs/>
        </w:rPr>
        <w:t xml:space="preserve">standard. A target 0.002% NEUE reliability standard is already </w:t>
      </w:r>
      <w:r w:rsidR="00C74B49" w:rsidRPr="008D5567">
        <w:rPr>
          <w:bCs/>
        </w:rPr>
        <w:t>deep in the tail end of the risk profiles, where large expenditures will have diminishing risk benefit returns</w:t>
      </w:r>
      <w:r w:rsidR="002D550D" w:rsidRPr="008D5567">
        <w:rPr>
          <w:bCs/>
        </w:rPr>
        <w:t xml:space="preserve"> showing that</w:t>
      </w:r>
      <w:r w:rsidR="00FE13E7" w:rsidRPr="008D5567">
        <w:rPr>
          <w:bCs/>
        </w:rPr>
        <w:t xml:space="preserve"> a system designed based on a</w:t>
      </w:r>
      <w:r w:rsidR="002D550D" w:rsidRPr="008D5567">
        <w:rPr>
          <w:bCs/>
        </w:rPr>
        <w:t xml:space="preserve"> NEUE</w:t>
      </w:r>
      <w:r w:rsidR="00FE13E7" w:rsidRPr="008D5567">
        <w:rPr>
          <w:bCs/>
        </w:rPr>
        <w:t xml:space="preserve"> reliability standard</w:t>
      </w:r>
      <w:r w:rsidR="002D550D" w:rsidRPr="008D5567">
        <w:rPr>
          <w:bCs/>
        </w:rPr>
        <w:t xml:space="preserve"> can </w:t>
      </w:r>
      <w:r w:rsidR="00FE13E7" w:rsidRPr="008D5567">
        <w:rPr>
          <w:bCs/>
        </w:rPr>
        <w:t>provide a</w:t>
      </w:r>
      <w:r w:rsidR="00CA5968" w:rsidRPr="008D5567">
        <w:rPr>
          <w:bCs/>
        </w:rPr>
        <w:t xml:space="preserve"> much more reliable outcome tha</w:t>
      </w:r>
      <w:r w:rsidR="008D5567" w:rsidRPr="008D5567">
        <w:rPr>
          <w:bCs/>
        </w:rPr>
        <w:t>n</w:t>
      </w:r>
      <w:r w:rsidR="00FE13E7" w:rsidRPr="008D5567">
        <w:rPr>
          <w:bCs/>
        </w:rPr>
        <w:t xml:space="preserve"> </w:t>
      </w:r>
      <w:r w:rsidR="00D44B85" w:rsidRPr="008D5567">
        <w:rPr>
          <w:bCs/>
        </w:rPr>
        <w:t>if it were designed based on LOLE.</w:t>
      </w:r>
    </w:p>
    <w:p w14:paraId="630091A4" w14:textId="6F60281B" w:rsidR="00D7785B" w:rsidRPr="008D5567" w:rsidRDefault="00D7785B" w:rsidP="00D7785B">
      <w:pPr>
        <w:spacing w:line="360" w:lineRule="auto"/>
        <w:ind w:firstLine="720"/>
        <w:jc w:val="both"/>
        <w:rPr>
          <w:bCs/>
        </w:rPr>
      </w:pPr>
    </w:p>
    <w:p w14:paraId="2693BC3B" w14:textId="144D3142" w:rsidR="00FD55C2" w:rsidRPr="008D5567" w:rsidRDefault="00FD55C2" w:rsidP="00321CAE">
      <w:pPr>
        <w:spacing w:line="360" w:lineRule="auto"/>
        <w:jc w:val="both"/>
        <w:rPr>
          <w:bCs/>
        </w:rPr>
      </w:pPr>
    </w:p>
    <w:p w14:paraId="4133A719" w14:textId="1859476D" w:rsidR="00321CAE" w:rsidRPr="008D5567" w:rsidRDefault="00321CAE" w:rsidP="00321CAE">
      <w:pPr>
        <w:spacing w:line="360" w:lineRule="auto"/>
        <w:jc w:val="both"/>
        <w:rPr>
          <w:bCs/>
        </w:rPr>
      </w:pPr>
      <w:r w:rsidRPr="008D5567">
        <w:rPr>
          <w:b/>
          <w:i/>
          <w:iCs/>
        </w:rPr>
        <w:t xml:space="preserve">Disagree that </w:t>
      </w:r>
      <w:r w:rsidR="0002315F" w:rsidRPr="008D5567">
        <w:rPr>
          <w:b/>
          <w:i/>
          <w:iCs/>
        </w:rPr>
        <w:t>metrics like target NEUE standards are inconsistent with the legislative mandate:</w:t>
      </w:r>
    </w:p>
    <w:p w14:paraId="5349D7FB" w14:textId="25C6B619" w:rsidR="000A5577" w:rsidRPr="008D5567" w:rsidRDefault="007D6D9F" w:rsidP="00E0006A">
      <w:pPr>
        <w:spacing w:line="360" w:lineRule="auto"/>
        <w:ind w:firstLine="720"/>
        <w:jc w:val="both"/>
        <w:rPr>
          <w:bCs/>
        </w:rPr>
      </w:pPr>
      <w:r w:rsidRPr="008D5567">
        <w:rPr>
          <w:rStyle w:val="ui-provider"/>
        </w:rPr>
        <w:t xml:space="preserve">We disagree </w:t>
      </w:r>
      <w:r w:rsidR="005D575C" w:rsidRPr="008D5567">
        <w:rPr>
          <w:rStyle w:val="ui-provider"/>
        </w:rPr>
        <w:t xml:space="preserve">with </w:t>
      </w:r>
      <w:r w:rsidRPr="008D5567">
        <w:rPr>
          <w:rStyle w:val="ui-provider"/>
        </w:rPr>
        <w:t>other commentors arguments that metrics like target NEUE standards are inconsistent with the legislative mandate</w:t>
      </w:r>
      <w:r w:rsidR="003C204C" w:rsidRPr="008D5567">
        <w:rPr>
          <w:rStyle w:val="ui-provider"/>
          <w:vertAlign w:val="superscript"/>
        </w:rPr>
        <w:footnoteReference w:id="2"/>
      </w:r>
      <w:r w:rsidRPr="008D5567">
        <w:rPr>
          <w:rStyle w:val="ui-provider"/>
        </w:rPr>
        <w:t>.</w:t>
      </w:r>
      <w:r w:rsidR="00BF43F9" w:rsidRPr="008D5567">
        <w:rPr>
          <w:rStyle w:val="ui-provider"/>
        </w:rPr>
        <w:t xml:space="preserve"> </w:t>
      </w:r>
      <w:r w:rsidR="007E596E" w:rsidRPr="008D5567">
        <w:rPr>
          <w:rStyle w:val="ui-provider"/>
        </w:rPr>
        <w:t>The requirement in Senate</w:t>
      </w:r>
      <w:r w:rsidR="007E596E" w:rsidRPr="008D5567">
        <w:rPr>
          <w:bCs/>
        </w:rPr>
        <w:t xml:space="preserve"> Bill 3 from the 87th Texas Legislative Session (“SB3”)</w:t>
      </w:r>
      <w:r w:rsidR="007E596E" w:rsidRPr="008D5567">
        <w:rPr>
          <w:rStyle w:val="FootnoteReference"/>
          <w:bCs/>
        </w:rPr>
        <w:footnoteReference w:id="3"/>
      </w:r>
      <w:r w:rsidR="007E596E" w:rsidRPr="008D5567">
        <w:rPr>
          <w:bCs/>
        </w:rPr>
        <w:t xml:space="preserve"> is to “establish requirements to meet the reliability </w:t>
      </w:r>
      <w:r w:rsidR="007E596E" w:rsidRPr="008D5567">
        <w:rPr>
          <w:b/>
          <w:i/>
          <w:iCs/>
        </w:rPr>
        <w:t>needs</w:t>
      </w:r>
      <w:r w:rsidR="007E596E" w:rsidRPr="008D5567">
        <w:rPr>
          <w:bCs/>
        </w:rPr>
        <w:t xml:space="preserve"> of the power region”</w:t>
      </w:r>
      <w:r w:rsidR="00F41DC2" w:rsidRPr="008D5567">
        <w:rPr>
          <w:bCs/>
        </w:rPr>
        <w:t xml:space="preserve"> and </w:t>
      </w:r>
      <w:r w:rsidR="00883410" w:rsidRPr="008D5567">
        <w:rPr>
          <w:bCs/>
        </w:rPr>
        <w:t xml:space="preserve">determine </w:t>
      </w:r>
      <w:r w:rsidR="00F41DC2" w:rsidRPr="008D5567">
        <w:rPr>
          <w:bCs/>
        </w:rPr>
        <w:t>“</w:t>
      </w:r>
      <w:r w:rsidR="00F41DC2" w:rsidRPr="008D5567">
        <w:rPr>
          <w:rStyle w:val="ui-provider"/>
        </w:rPr>
        <w:t xml:space="preserve">services necessary to ensure </w:t>
      </w:r>
      <w:r w:rsidR="00F41DC2" w:rsidRPr="008D5567">
        <w:rPr>
          <w:rStyle w:val="ui-provider"/>
          <w:b/>
          <w:bCs/>
          <w:i/>
          <w:iCs/>
        </w:rPr>
        <w:t>appropriate</w:t>
      </w:r>
      <w:r w:rsidR="00F41DC2" w:rsidRPr="008D5567">
        <w:rPr>
          <w:rStyle w:val="ui-provider"/>
        </w:rPr>
        <w:t xml:space="preserve"> reliability</w:t>
      </w:r>
      <w:r w:rsidR="00644ACF" w:rsidRPr="008D5567">
        <w:rPr>
          <w:rStyle w:val="ui-provider"/>
        </w:rPr>
        <w:t>.</w:t>
      </w:r>
      <w:r w:rsidR="00F41DC2" w:rsidRPr="008D5567">
        <w:rPr>
          <w:rStyle w:val="ui-provider"/>
        </w:rPr>
        <w:t>”</w:t>
      </w:r>
      <w:r w:rsidR="00883410" w:rsidRPr="008D5567">
        <w:rPr>
          <w:rStyle w:val="ui-provider"/>
        </w:rPr>
        <w:t xml:space="preserve"> </w:t>
      </w:r>
      <w:r w:rsidR="00A16A24" w:rsidRPr="008D5567">
        <w:rPr>
          <w:rStyle w:val="ui-provider"/>
        </w:rPr>
        <w:t xml:space="preserve"> </w:t>
      </w:r>
      <w:r w:rsidR="00836700" w:rsidRPr="008D5567">
        <w:rPr>
          <w:rStyle w:val="ui-provider"/>
        </w:rPr>
        <w:t xml:space="preserve">SB3 mandates procuring </w:t>
      </w:r>
      <w:r w:rsidR="009B0EFA" w:rsidRPr="008D5567">
        <w:rPr>
          <w:rStyle w:val="ui-provider"/>
        </w:rPr>
        <w:t>services needed to address reliability needs and to maintain appropriate reliability</w:t>
      </w:r>
      <w:r w:rsidR="00A27090" w:rsidRPr="008D5567">
        <w:rPr>
          <w:rStyle w:val="ui-provider"/>
        </w:rPr>
        <w:t xml:space="preserve">. This is done </w:t>
      </w:r>
      <w:r w:rsidR="00702F13" w:rsidRPr="008D5567">
        <w:rPr>
          <w:rStyle w:val="ui-provider"/>
        </w:rPr>
        <w:t xml:space="preserve">setting a target reliability standard that is achieved through </w:t>
      </w:r>
      <w:r w:rsidR="005C2FEB" w:rsidRPr="008D5567">
        <w:rPr>
          <w:rStyle w:val="ui-provider"/>
        </w:rPr>
        <w:t>services that balance</w:t>
      </w:r>
      <w:r w:rsidR="004C5764" w:rsidRPr="008D5567">
        <w:rPr>
          <w:rStyle w:val="ui-provider"/>
        </w:rPr>
        <w:t xml:space="preserve"> the</w:t>
      </w:r>
      <w:r w:rsidR="005C2FEB" w:rsidRPr="008D5567">
        <w:rPr>
          <w:rStyle w:val="ui-provider"/>
        </w:rPr>
        <w:t xml:space="preserve"> </w:t>
      </w:r>
      <w:r w:rsidR="00702F13" w:rsidRPr="008D5567">
        <w:rPr>
          <w:rStyle w:val="ui-provider"/>
        </w:rPr>
        <w:t xml:space="preserve">economic trade-off of marginal improvements in reliability relative to the cost of those </w:t>
      </w:r>
      <w:r w:rsidR="002C3337" w:rsidRPr="008D5567">
        <w:rPr>
          <w:rStyle w:val="ui-provider"/>
        </w:rPr>
        <w:t xml:space="preserve">services. </w:t>
      </w:r>
      <w:r w:rsidR="00703879" w:rsidRPr="008D5567">
        <w:rPr>
          <w:rStyle w:val="ui-provider"/>
        </w:rPr>
        <w:t xml:space="preserve">From that perspective, it is incorrect for </w:t>
      </w:r>
      <w:r w:rsidR="000A5577" w:rsidRPr="008D5567">
        <w:rPr>
          <w:bCs/>
        </w:rPr>
        <w:t>Electric Reliability Council of Texas</w:t>
      </w:r>
      <w:r w:rsidR="00F10A01" w:rsidRPr="008D5567">
        <w:rPr>
          <w:bCs/>
        </w:rPr>
        <w:t xml:space="preserve"> (ERCOT)</w:t>
      </w:r>
      <w:r w:rsidR="00703879" w:rsidRPr="008D5567">
        <w:rPr>
          <w:bCs/>
        </w:rPr>
        <w:t xml:space="preserve"> to look at </w:t>
      </w:r>
      <w:r w:rsidR="002143C6" w:rsidRPr="008D5567">
        <w:rPr>
          <w:bCs/>
        </w:rPr>
        <w:t xml:space="preserve">single number and not a probability weighted number in their </w:t>
      </w:r>
      <w:r w:rsidR="00F10A01" w:rsidRPr="008D5567">
        <w:rPr>
          <w:bCs/>
        </w:rPr>
        <w:t xml:space="preserve">reliability analysis study. </w:t>
      </w:r>
      <w:r w:rsidR="00F10A01" w:rsidRPr="008D5567">
        <w:rPr>
          <w:b/>
        </w:rPr>
        <w:t>We disagree with ERCOT</w:t>
      </w:r>
      <w:r w:rsidR="000A5577" w:rsidRPr="008D5567">
        <w:rPr>
          <w:b/>
        </w:rPr>
        <w:t>’s comments “…any load shed event should not last for more than x hours</w:t>
      </w:r>
      <w:r w:rsidR="00D36109" w:rsidRPr="008D5567">
        <w:rPr>
          <w:b/>
        </w:rPr>
        <w:t xml:space="preserve"> ...</w:t>
      </w:r>
      <w:r w:rsidR="000A5577" w:rsidRPr="008D5567">
        <w:rPr>
          <w:b/>
        </w:rPr>
        <w:t>…</w:t>
      </w:r>
      <w:r w:rsidR="00D36109" w:rsidRPr="008D5567">
        <w:rPr>
          <w:b/>
        </w:rPr>
        <w:t xml:space="preserve"> </w:t>
      </w:r>
      <w:r w:rsidR="000A5577" w:rsidRPr="008D5567">
        <w:rPr>
          <w:b/>
        </w:rPr>
        <w:t xml:space="preserve">limit on the magnitude of any single loss of load event </w:t>
      </w:r>
      <w:r w:rsidR="004325EE" w:rsidRPr="008D5567">
        <w:rPr>
          <w:b/>
        </w:rPr>
        <w:t>…</w:t>
      </w:r>
      <w:r w:rsidR="000A5577" w:rsidRPr="008D5567">
        <w:rPr>
          <w:b/>
        </w:rPr>
        <w:t>.”</w:t>
      </w:r>
      <w:r w:rsidR="007A07D9" w:rsidRPr="008D5567">
        <w:rPr>
          <w:b/>
        </w:rPr>
        <w:t>.</w:t>
      </w:r>
      <w:r w:rsidR="007A07D9" w:rsidRPr="008D5567">
        <w:rPr>
          <w:bCs/>
        </w:rPr>
        <w:t xml:space="preserve"> </w:t>
      </w:r>
      <w:r w:rsidR="000A5577" w:rsidRPr="008D5567">
        <w:rPr>
          <w:bCs/>
        </w:rPr>
        <w:t xml:space="preserve"> </w:t>
      </w:r>
      <w:r w:rsidR="00E54D68" w:rsidRPr="008D5567">
        <w:rPr>
          <w:bCs/>
        </w:rPr>
        <w:t xml:space="preserve">If we take ERCOT’s </w:t>
      </w:r>
      <w:proofErr w:type="gramStart"/>
      <w:r w:rsidR="00E54D68" w:rsidRPr="008D5567">
        <w:rPr>
          <w:bCs/>
        </w:rPr>
        <w:t>approach</w:t>
      </w:r>
      <w:proofErr w:type="gramEnd"/>
      <w:r w:rsidR="00E54D68" w:rsidRPr="008D5567">
        <w:rPr>
          <w:bCs/>
        </w:rPr>
        <w:t xml:space="preserve"> then</w:t>
      </w:r>
      <w:r w:rsidR="00FA6418" w:rsidRPr="008D5567">
        <w:rPr>
          <w:bCs/>
        </w:rPr>
        <w:t xml:space="preserve"> a system (generation mix) with a duration threshold that is violated in 99% of the simulation runs will be shown to have the same level of reliability as another system (with much firmer generation mix) for which the simulation runs have only 1 run that violated the duration threshold. This also implies that a single extremely low probability scenario added to a 50,000-run simulation could cause unintended/undesirable study results showing failure of any chosen level of reliability metric for even extremely reliable systems. For ex</w:t>
      </w:r>
      <w:r w:rsidR="007B5443" w:rsidRPr="008D5567">
        <w:rPr>
          <w:bCs/>
        </w:rPr>
        <w:t>ample</w:t>
      </w:r>
      <w:r w:rsidR="00FA6418" w:rsidRPr="008D5567">
        <w:rPr>
          <w:bCs/>
        </w:rPr>
        <w:t>: a 0.000001 probability 4-</w:t>
      </w:r>
      <w:r w:rsidR="00FA6418" w:rsidRPr="008D5567">
        <w:rPr>
          <w:bCs/>
        </w:rPr>
        <w:lastRenderedPageBreak/>
        <w:t>hour load shed event due to 75% gen</w:t>
      </w:r>
      <w:r w:rsidR="00B325BE" w:rsidRPr="008D5567">
        <w:rPr>
          <w:bCs/>
        </w:rPr>
        <w:t>eration</w:t>
      </w:r>
      <w:r w:rsidR="00FA6418" w:rsidRPr="008D5567">
        <w:rPr>
          <w:bCs/>
        </w:rPr>
        <w:t xml:space="preserve"> outage added in the simulation in which all other runs have no load shed great than or equal to 4-hours could give the impression that the system could be expected to have 4-hour load shed event frequently unless 75% more generation is added. </w:t>
      </w:r>
      <w:r w:rsidR="00314BE4" w:rsidRPr="008D5567">
        <w:rPr>
          <w:bCs/>
        </w:rPr>
        <w:t>Adding that much additional generation would be too costly and at the same time would minimal</w:t>
      </w:r>
      <w:r w:rsidR="00560E52" w:rsidRPr="008D5567">
        <w:rPr>
          <w:bCs/>
        </w:rPr>
        <w:t>ly</w:t>
      </w:r>
      <w:r w:rsidR="00314BE4" w:rsidRPr="008D5567">
        <w:rPr>
          <w:bCs/>
        </w:rPr>
        <w:t xml:space="preserve"> </w:t>
      </w:r>
      <w:r w:rsidR="00560E52" w:rsidRPr="008D5567">
        <w:rPr>
          <w:bCs/>
        </w:rPr>
        <w:t xml:space="preserve">improve </w:t>
      </w:r>
      <w:r w:rsidR="00D804EF" w:rsidRPr="008D5567">
        <w:rPr>
          <w:bCs/>
        </w:rPr>
        <w:t>reliability. Hence, t</w:t>
      </w:r>
      <w:r w:rsidR="007A07D9" w:rsidRPr="008D5567">
        <w:t xml:space="preserve">he design of any reserve margin reliability standard for ERCOT must be designed to balance tradeoffs between cost and the reliability benefit. </w:t>
      </w:r>
      <w:r w:rsidR="003151D7" w:rsidRPr="008D5567">
        <w:rPr>
          <w:bCs/>
        </w:rPr>
        <w:t xml:space="preserve">The Commission should </w:t>
      </w:r>
      <w:r w:rsidR="003151D7" w:rsidRPr="008D5567">
        <w:rPr>
          <w:b/>
        </w:rPr>
        <w:t>consider the marginal improvement in reliability by</w:t>
      </w:r>
      <w:r w:rsidR="003151D7" w:rsidRPr="008D5567">
        <w:rPr>
          <w:bCs/>
        </w:rPr>
        <w:t xml:space="preserve"> </w:t>
      </w:r>
      <w:r w:rsidR="003151D7" w:rsidRPr="008D5567">
        <w:rPr>
          <w:b/>
        </w:rPr>
        <w:t>ensuring that the reliability target that is adopted is probability-based</w:t>
      </w:r>
      <w:r w:rsidR="003151D7" w:rsidRPr="008D5567">
        <w:rPr>
          <w:bCs/>
        </w:rPr>
        <w:t xml:space="preserve">, giving more weight to </w:t>
      </w:r>
      <w:r w:rsidR="003151D7" w:rsidRPr="008D5567">
        <w:rPr>
          <w:color w:val="000000"/>
        </w:rPr>
        <w:t xml:space="preserve">events of higher probability </w:t>
      </w:r>
      <w:r w:rsidR="003151D7" w:rsidRPr="008D5567">
        <w:rPr>
          <w:bCs/>
        </w:rPr>
        <w:t xml:space="preserve">and less weight to </w:t>
      </w:r>
      <w:r w:rsidR="003151D7" w:rsidRPr="008D5567">
        <w:rPr>
          <w:color w:val="000000"/>
        </w:rPr>
        <w:t>events less likely to happen</w:t>
      </w:r>
      <w:r w:rsidR="003151D7" w:rsidRPr="008D5567">
        <w:rPr>
          <w:bCs/>
        </w:rPr>
        <w:t xml:space="preserve">. The target reliability metric should be statistical in nature. It should also be recognized that the </w:t>
      </w:r>
      <w:r w:rsidR="003151D7" w:rsidRPr="008D5567">
        <w:rPr>
          <w:b/>
        </w:rPr>
        <w:t>reliability standard should not be applied to the actual system reliability, but rather to probabilistic simulations of reliability which will in turn set market parameters</w:t>
      </w:r>
      <w:r w:rsidR="003151D7" w:rsidRPr="008D5567">
        <w:rPr>
          <w:bCs/>
        </w:rPr>
        <w:t xml:space="preserve">. </w:t>
      </w:r>
    </w:p>
    <w:p w14:paraId="4D5F7663" w14:textId="77777777" w:rsidR="005358F3" w:rsidRPr="008D5567" w:rsidRDefault="005358F3" w:rsidP="00E0006A">
      <w:pPr>
        <w:spacing w:line="360" w:lineRule="auto"/>
        <w:ind w:firstLine="720"/>
        <w:jc w:val="both"/>
        <w:rPr>
          <w:bCs/>
        </w:rPr>
      </w:pPr>
    </w:p>
    <w:p w14:paraId="00E9D950" w14:textId="1E378A44" w:rsidR="002070BC" w:rsidRPr="008D5567" w:rsidRDefault="002070BC" w:rsidP="002070BC">
      <w:pPr>
        <w:suppressAutoHyphens w:val="0"/>
        <w:spacing w:line="360" w:lineRule="auto"/>
        <w:jc w:val="center"/>
        <w:rPr>
          <w:b/>
          <w:bCs/>
          <w:iCs/>
        </w:rPr>
      </w:pPr>
      <w:r w:rsidRPr="008D5567">
        <w:rPr>
          <w:b/>
          <w:bCs/>
          <w:iCs/>
        </w:rPr>
        <w:t>III.</w:t>
      </w:r>
      <w:r w:rsidRPr="008D5567">
        <w:rPr>
          <w:b/>
          <w:bCs/>
          <w:iCs/>
        </w:rPr>
        <w:tab/>
        <w:t>CONCLUSION</w:t>
      </w:r>
    </w:p>
    <w:p w14:paraId="11E0C52C" w14:textId="0FDB32E2" w:rsidR="00034501" w:rsidRPr="008D5567" w:rsidRDefault="005358F3" w:rsidP="00BF292C">
      <w:pPr>
        <w:spacing w:line="360" w:lineRule="auto"/>
        <w:ind w:firstLine="720"/>
        <w:jc w:val="both"/>
      </w:pPr>
      <w:r w:rsidRPr="008D5567">
        <w:t xml:space="preserve">Shell Energy appreciates the opportunity to provide reply comments on this important issue. SB3 does not require establishment of a mandated capacity procurement reliability standard. To preserve Texas’ vibrant Energy-only wholesale and retail market, if a reserve margin-based reliability standard is developed, then it should be a </w:t>
      </w:r>
      <w:r w:rsidRPr="008D5567">
        <w:rPr>
          <w:b/>
          <w:bCs/>
          <w:i/>
          <w:iCs/>
        </w:rPr>
        <w:t>target</w:t>
      </w:r>
      <w:r w:rsidRPr="008D5567">
        <w:t xml:space="preserve"> </w:t>
      </w:r>
      <w:r w:rsidRPr="008D5567">
        <w:rPr>
          <w:b/>
          <w:bCs/>
          <w:i/>
          <w:iCs/>
          <w:color w:val="000000"/>
        </w:rPr>
        <w:t>reliability standard</w:t>
      </w:r>
      <w:r w:rsidRPr="008D5567">
        <w:t xml:space="preserve"> and not a mandated reliability standard. The design of any of these target reserve margin reliability standards for ERCOT must find a way to balance tradeoffs between cost and reliability benefits. If a reserve margin-based resource adequacy reliability standard needs to be developed then a target reliability standard based on the Normalized Expected Unserved Energy (NEUE) is most reasonable as it considers frequency, duration, magnitude, probability, and cost of the event.</w:t>
      </w:r>
    </w:p>
    <w:p w14:paraId="1CE58DB7" w14:textId="77777777" w:rsidR="005358F3" w:rsidRPr="008D5567" w:rsidRDefault="005358F3" w:rsidP="00BF292C">
      <w:pPr>
        <w:spacing w:line="360" w:lineRule="auto"/>
        <w:ind w:firstLine="720"/>
        <w:jc w:val="both"/>
        <w:rPr>
          <w:bCs/>
        </w:rPr>
      </w:pPr>
    </w:p>
    <w:p w14:paraId="37826CC0" w14:textId="26AAB895" w:rsidR="00327C9C" w:rsidRPr="008D5567" w:rsidRDefault="00327C9C" w:rsidP="00327C9C">
      <w:pPr>
        <w:spacing w:line="360" w:lineRule="auto"/>
        <w:ind w:firstLine="720"/>
        <w:jc w:val="both"/>
        <w:rPr>
          <w:bCs/>
        </w:rPr>
      </w:pPr>
      <w:r w:rsidRPr="008D5567">
        <w:rPr>
          <w:bCs/>
        </w:rPr>
        <w:tab/>
      </w:r>
      <w:r w:rsidRPr="008D5567">
        <w:rPr>
          <w:bCs/>
        </w:rPr>
        <w:tab/>
      </w:r>
      <w:r w:rsidRPr="008D5567">
        <w:rPr>
          <w:bCs/>
        </w:rPr>
        <w:tab/>
      </w:r>
      <w:r w:rsidRPr="008D5567">
        <w:rPr>
          <w:bCs/>
        </w:rPr>
        <w:tab/>
      </w:r>
      <w:r w:rsidRPr="008D5567">
        <w:rPr>
          <w:bCs/>
        </w:rPr>
        <w:tab/>
      </w:r>
      <w:r w:rsidRPr="008D5567">
        <w:rPr>
          <w:bCs/>
        </w:rPr>
        <w:tab/>
        <w:t>Respectfully submitted,</w:t>
      </w:r>
    </w:p>
    <w:p w14:paraId="6EF2F65B" w14:textId="77777777" w:rsidR="005358F3" w:rsidRPr="008D5567" w:rsidRDefault="00327C9C" w:rsidP="00327C9C">
      <w:pPr>
        <w:spacing w:line="360" w:lineRule="auto"/>
        <w:ind w:firstLine="720"/>
        <w:jc w:val="both"/>
        <w:rPr>
          <w:bCs/>
        </w:rPr>
      </w:pPr>
      <w:r w:rsidRPr="008D5567">
        <w:rPr>
          <w:bCs/>
        </w:rPr>
        <w:tab/>
      </w:r>
      <w:r w:rsidRPr="008D5567">
        <w:rPr>
          <w:bCs/>
        </w:rPr>
        <w:tab/>
      </w:r>
      <w:r w:rsidRPr="008D5567">
        <w:rPr>
          <w:bCs/>
        </w:rPr>
        <w:tab/>
      </w:r>
      <w:r w:rsidRPr="008D5567">
        <w:rPr>
          <w:bCs/>
        </w:rPr>
        <w:tab/>
      </w:r>
      <w:r w:rsidRPr="008D5567">
        <w:rPr>
          <w:bCs/>
        </w:rPr>
        <w:tab/>
      </w:r>
      <w:r w:rsidRPr="008D5567">
        <w:rPr>
          <w:bCs/>
        </w:rPr>
        <w:tab/>
      </w:r>
      <w:r w:rsidRPr="008D5567">
        <w:rPr>
          <w:bCs/>
        </w:rPr>
        <w:tab/>
      </w:r>
      <w:r w:rsidRPr="008D5567">
        <w:rPr>
          <w:bCs/>
        </w:rPr>
        <w:tab/>
      </w:r>
    </w:p>
    <w:p w14:paraId="68485021" w14:textId="2FD73AAE" w:rsidR="00327C9C" w:rsidRPr="008D5567" w:rsidRDefault="00327C9C" w:rsidP="002368C1">
      <w:pPr>
        <w:spacing w:line="360" w:lineRule="auto"/>
        <w:ind w:left="4320" w:firstLine="720"/>
        <w:jc w:val="both"/>
        <w:rPr>
          <w:bCs/>
        </w:rPr>
      </w:pPr>
      <w:r w:rsidRPr="008D5567">
        <w:rPr>
          <w:bCs/>
        </w:rPr>
        <w:t>Resmi Surendran</w:t>
      </w:r>
    </w:p>
    <w:p w14:paraId="1F6FDCA3" w14:textId="1B398124" w:rsidR="00A0375D" w:rsidRPr="008D5567" w:rsidRDefault="00A0375D" w:rsidP="002368C1">
      <w:pPr>
        <w:spacing w:line="360" w:lineRule="auto"/>
        <w:ind w:left="4320" w:firstLine="720"/>
        <w:jc w:val="both"/>
        <w:rPr>
          <w:bCs/>
        </w:rPr>
      </w:pPr>
      <w:r w:rsidRPr="008D5567">
        <w:rPr>
          <w:bCs/>
        </w:rPr>
        <w:t>Vice President, Regulatory Policy</w:t>
      </w:r>
    </w:p>
    <w:p w14:paraId="4A41B2C2" w14:textId="7A304B02" w:rsidR="00B46E09" w:rsidRPr="008D5567" w:rsidRDefault="00B46E09" w:rsidP="002368C1">
      <w:pPr>
        <w:spacing w:line="360" w:lineRule="auto"/>
        <w:ind w:left="4320" w:firstLine="720"/>
        <w:jc w:val="both"/>
        <w:rPr>
          <w:bCs/>
        </w:rPr>
      </w:pPr>
      <w:r w:rsidRPr="008D5567">
        <w:rPr>
          <w:bCs/>
        </w:rPr>
        <w:t>Resmi.surendran@shell.com</w:t>
      </w:r>
    </w:p>
    <w:p w14:paraId="244F6587" w14:textId="77777777" w:rsidR="002368C1" w:rsidRPr="008D5567" w:rsidRDefault="00A0375D" w:rsidP="002368C1">
      <w:pPr>
        <w:spacing w:line="360" w:lineRule="auto"/>
        <w:ind w:left="4320" w:firstLine="720"/>
        <w:jc w:val="both"/>
        <w:rPr>
          <w:bCs/>
        </w:rPr>
      </w:pPr>
      <w:r w:rsidRPr="008D5567">
        <w:rPr>
          <w:bCs/>
        </w:rPr>
        <w:t>C: 512 289 7131 | T: 346 234 0691</w:t>
      </w:r>
    </w:p>
    <w:p w14:paraId="113AFDFB" w14:textId="78A44415" w:rsidR="00B46E09" w:rsidRPr="008D5567" w:rsidRDefault="00A0375D" w:rsidP="00B46E09">
      <w:pPr>
        <w:spacing w:line="360" w:lineRule="auto"/>
        <w:ind w:left="5040"/>
        <w:jc w:val="both"/>
        <w:rPr>
          <w:b/>
          <w:caps/>
        </w:rPr>
      </w:pPr>
      <w:r w:rsidRPr="008D5567">
        <w:rPr>
          <w:bCs/>
        </w:rPr>
        <w:t xml:space="preserve">1000 Main Street, Houston, TX, 77002 </w:t>
      </w:r>
      <w:r w:rsidR="00B46E09" w:rsidRPr="008D5567">
        <w:rPr>
          <w:b/>
          <w:caps/>
        </w:rPr>
        <w:br w:type="page"/>
      </w:r>
    </w:p>
    <w:p w14:paraId="4965AD4B" w14:textId="01436309" w:rsidR="00A55356" w:rsidRPr="008D5567" w:rsidRDefault="001D3427" w:rsidP="00724D63">
      <w:pPr>
        <w:spacing w:line="360" w:lineRule="auto"/>
        <w:jc w:val="center"/>
        <w:rPr>
          <w:b/>
          <w:caps/>
        </w:rPr>
      </w:pPr>
      <w:r w:rsidRPr="008D5567">
        <w:rPr>
          <w:b/>
          <w:caps/>
        </w:rPr>
        <w:lastRenderedPageBreak/>
        <w:t xml:space="preserve">SHELL ENERGY’S </w:t>
      </w:r>
      <w:r w:rsidR="00A55356" w:rsidRPr="008D5567">
        <w:rPr>
          <w:b/>
          <w:caps/>
        </w:rPr>
        <w:t>Executive</w:t>
      </w:r>
      <w:r w:rsidR="00A55356" w:rsidRPr="008D5567">
        <w:rPr>
          <w:sz w:val="23"/>
          <w:szCs w:val="23"/>
        </w:rPr>
        <w:t xml:space="preserve"> </w:t>
      </w:r>
      <w:r w:rsidR="00A55356" w:rsidRPr="008D5567">
        <w:rPr>
          <w:b/>
          <w:caps/>
        </w:rPr>
        <w:t>Summary</w:t>
      </w:r>
    </w:p>
    <w:p w14:paraId="4470988E" w14:textId="77777777" w:rsidR="00DB0C0B" w:rsidRPr="008D5567" w:rsidRDefault="00DB0C0B" w:rsidP="00724D63">
      <w:pPr>
        <w:pStyle w:val="ListParagraph"/>
        <w:spacing w:line="360" w:lineRule="auto"/>
        <w:ind w:left="180"/>
        <w:jc w:val="both"/>
        <w:rPr>
          <w:rFonts w:ascii="Times New Roman" w:hAnsi="Times New Roman" w:cs="Times New Roman"/>
          <w:color w:val="000000"/>
        </w:rPr>
      </w:pPr>
    </w:p>
    <w:p w14:paraId="1B083EFD" w14:textId="00CE340C" w:rsidR="00F45330" w:rsidRPr="008D5567" w:rsidRDefault="00794C7A" w:rsidP="008D2AE4">
      <w:pPr>
        <w:pStyle w:val="ListParagraph"/>
        <w:numPr>
          <w:ilvl w:val="0"/>
          <w:numId w:val="23"/>
        </w:numPr>
        <w:spacing w:line="360" w:lineRule="auto"/>
        <w:jc w:val="both"/>
        <w:rPr>
          <w:rFonts w:ascii="Times New Roman" w:hAnsi="Times New Roman" w:cs="Times New Roman"/>
          <w:sz w:val="23"/>
          <w:szCs w:val="23"/>
        </w:rPr>
      </w:pPr>
      <w:r w:rsidRPr="008D5567">
        <w:rPr>
          <w:rFonts w:ascii="Times New Roman" w:hAnsi="Times New Roman" w:cs="Times New Roman"/>
          <w:b/>
          <w:i/>
          <w:iCs/>
          <w:sz w:val="23"/>
          <w:szCs w:val="23"/>
        </w:rPr>
        <w:t xml:space="preserve">A target </w:t>
      </w:r>
      <w:r w:rsidR="00E13E73" w:rsidRPr="008D5567">
        <w:rPr>
          <w:rFonts w:ascii="Times New Roman" w:hAnsi="Times New Roman" w:cs="Times New Roman"/>
          <w:b/>
          <w:i/>
          <w:iCs/>
          <w:sz w:val="23"/>
          <w:szCs w:val="23"/>
        </w:rPr>
        <w:t>NEUE standard</w:t>
      </w:r>
      <w:r w:rsidRPr="008D5567">
        <w:rPr>
          <w:rFonts w:ascii="Times New Roman" w:hAnsi="Times New Roman" w:cs="Times New Roman"/>
          <w:b/>
          <w:i/>
          <w:iCs/>
          <w:sz w:val="23"/>
          <w:szCs w:val="23"/>
        </w:rPr>
        <w:t xml:space="preserve"> is</w:t>
      </w:r>
      <w:r w:rsidR="00E13E73" w:rsidRPr="008D5567">
        <w:rPr>
          <w:rFonts w:ascii="Times New Roman" w:hAnsi="Times New Roman" w:cs="Times New Roman"/>
          <w:b/>
          <w:i/>
          <w:iCs/>
          <w:sz w:val="23"/>
          <w:szCs w:val="23"/>
        </w:rPr>
        <w:t xml:space="preserve"> consistent with the legislative mandate</w:t>
      </w:r>
      <w:r w:rsidR="00E13E73" w:rsidRPr="008D5567">
        <w:rPr>
          <w:rFonts w:ascii="Times New Roman" w:hAnsi="Times New Roman" w:cs="Times New Roman"/>
          <w:sz w:val="23"/>
          <w:szCs w:val="23"/>
        </w:rPr>
        <w:t xml:space="preserve">: </w:t>
      </w:r>
      <w:r w:rsidR="00707B81" w:rsidRPr="008D5567">
        <w:rPr>
          <w:rFonts w:ascii="Times New Roman" w:hAnsi="Times New Roman" w:cs="Times New Roman"/>
          <w:sz w:val="23"/>
          <w:szCs w:val="23"/>
        </w:rPr>
        <w:t xml:space="preserve">SB3 </w:t>
      </w:r>
      <w:r w:rsidR="00764BA9" w:rsidRPr="008D5567">
        <w:rPr>
          <w:rFonts w:ascii="Times New Roman" w:hAnsi="Times New Roman" w:cs="Times New Roman"/>
          <w:sz w:val="23"/>
          <w:szCs w:val="23"/>
        </w:rPr>
        <w:t>requires</w:t>
      </w:r>
      <w:r w:rsidR="00281EAB" w:rsidRPr="008D5567">
        <w:rPr>
          <w:rFonts w:ascii="Times New Roman" w:hAnsi="Times New Roman" w:cs="Times New Roman"/>
          <w:sz w:val="23"/>
          <w:szCs w:val="23"/>
        </w:rPr>
        <w:t xml:space="preserve"> </w:t>
      </w:r>
      <w:r w:rsidR="008E503E" w:rsidRPr="008D5567">
        <w:rPr>
          <w:rFonts w:ascii="Times New Roman" w:hAnsi="Times New Roman" w:cs="Times New Roman"/>
          <w:sz w:val="23"/>
          <w:szCs w:val="23"/>
        </w:rPr>
        <w:t xml:space="preserve">the commission </w:t>
      </w:r>
      <w:r w:rsidR="00281EAB" w:rsidRPr="008D5567">
        <w:rPr>
          <w:rFonts w:ascii="Times New Roman" w:hAnsi="Times New Roman" w:cs="Times New Roman"/>
          <w:sz w:val="23"/>
          <w:szCs w:val="23"/>
        </w:rPr>
        <w:t>to</w:t>
      </w:r>
      <w:r w:rsidR="00707B81" w:rsidRPr="008D5567">
        <w:rPr>
          <w:rFonts w:ascii="Times New Roman" w:hAnsi="Times New Roman" w:cs="Times New Roman"/>
          <w:sz w:val="23"/>
          <w:szCs w:val="23"/>
        </w:rPr>
        <w:t xml:space="preserve"> </w:t>
      </w:r>
      <w:r w:rsidR="00E13E73" w:rsidRPr="008D5567">
        <w:rPr>
          <w:rFonts w:ascii="Times New Roman" w:hAnsi="Times New Roman" w:cs="Times New Roman"/>
          <w:bCs/>
          <w:sz w:val="23"/>
          <w:szCs w:val="23"/>
        </w:rPr>
        <w:t xml:space="preserve">“establish requirements to meet the reliability </w:t>
      </w:r>
      <w:r w:rsidR="00E13E73" w:rsidRPr="008D5567">
        <w:rPr>
          <w:rFonts w:ascii="Times New Roman" w:hAnsi="Times New Roman" w:cs="Times New Roman"/>
          <w:b/>
          <w:i/>
          <w:iCs/>
          <w:sz w:val="23"/>
          <w:szCs w:val="23"/>
        </w:rPr>
        <w:t>needs</w:t>
      </w:r>
      <w:r w:rsidR="00E13E73" w:rsidRPr="008D5567">
        <w:rPr>
          <w:rFonts w:ascii="Times New Roman" w:hAnsi="Times New Roman" w:cs="Times New Roman"/>
          <w:bCs/>
          <w:sz w:val="23"/>
          <w:szCs w:val="23"/>
        </w:rPr>
        <w:t xml:space="preserve"> of the power region” and determine “</w:t>
      </w:r>
      <w:r w:rsidR="00E13E73" w:rsidRPr="008D5567">
        <w:rPr>
          <w:rStyle w:val="ui-provider"/>
          <w:rFonts w:ascii="Times New Roman" w:hAnsi="Times New Roman" w:cs="Times New Roman"/>
          <w:sz w:val="23"/>
          <w:szCs w:val="23"/>
        </w:rPr>
        <w:t xml:space="preserve">services necessary to ensure </w:t>
      </w:r>
      <w:r w:rsidR="00E13E73" w:rsidRPr="008D5567">
        <w:rPr>
          <w:rStyle w:val="ui-provider"/>
          <w:rFonts w:ascii="Times New Roman" w:hAnsi="Times New Roman" w:cs="Times New Roman"/>
          <w:b/>
          <w:bCs/>
          <w:i/>
          <w:iCs/>
          <w:sz w:val="23"/>
          <w:szCs w:val="23"/>
        </w:rPr>
        <w:t>appropriate</w:t>
      </w:r>
      <w:r w:rsidR="00E13E73" w:rsidRPr="008D5567">
        <w:rPr>
          <w:rStyle w:val="ui-provider"/>
          <w:rFonts w:ascii="Times New Roman" w:hAnsi="Times New Roman" w:cs="Times New Roman"/>
          <w:sz w:val="23"/>
          <w:szCs w:val="23"/>
        </w:rPr>
        <w:t xml:space="preserve"> reliability”.  </w:t>
      </w:r>
      <w:r w:rsidR="00707B81" w:rsidRPr="008D5567">
        <w:rPr>
          <w:rFonts w:ascii="Times New Roman" w:hAnsi="Times New Roman" w:cs="Times New Roman"/>
          <w:sz w:val="23"/>
          <w:szCs w:val="23"/>
        </w:rPr>
        <w:t xml:space="preserve"> </w:t>
      </w:r>
      <w:r w:rsidR="00E13E73" w:rsidRPr="008D5567">
        <w:rPr>
          <w:rFonts w:ascii="Times New Roman" w:hAnsi="Times New Roman" w:cs="Times New Roman"/>
          <w:sz w:val="23"/>
          <w:szCs w:val="23"/>
        </w:rPr>
        <w:t>It does</w:t>
      </w:r>
      <w:r w:rsidR="00707B81" w:rsidRPr="008D5567">
        <w:rPr>
          <w:rFonts w:ascii="Times New Roman" w:hAnsi="Times New Roman" w:cs="Times New Roman"/>
          <w:sz w:val="23"/>
          <w:szCs w:val="23"/>
        </w:rPr>
        <w:t xml:space="preserve"> not </w:t>
      </w:r>
      <w:r w:rsidR="00E13E73" w:rsidRPr="008D5567">
        <w:rPr>
          <w:rFonts w:ascii="Times New Roman" w:hAnsi="Times New Roman" w:cs="Times New Roman"/>
          <w:sz w:val="23"/>
          <w:szCs w:val="23"/>
        </w:rPr>
        <w:t xml:space="preserve">require the commission </w:t>
      </w:r>
      <w:r w:rsidR="00707B81" w:rsidRPr="008D5567">
        <w:rPr>
          <w:rFonts w:ascii="Times New Roman" w:hAnsi="Times New Roman" w:cs="Times New Roman"/>
          <w:sz w:val="23"/>
          <w:szCs w:val="23"/>
        </w:rPr>
        <w:t xml:space="preserve">to establish a mandated capacity procurement reliability </w:t>
      </w:r>
      <w:r w:rsidR="003C5F25" w:rsidRPr="008D5567">
        <w:rPr>
          <w:rFonts w:ascii="Times New Roman" w:hAnsi="Times New Roman" w:cs="Times New Roman"/>
          <w:sz w:val="23"/>
          <w:szCs w:val="23"/>
        </w:rPr>
        <w:t>standard</w:t>
      </w:r>
      <w:r w:rsidR="00707B81" w:rsidRPr="008D5567">
        <w:rPr>
          <w:rFonts w:ascii="Times New Roman" w:hAnsi="Times New Roman" w:cs="Times New Roman"/>
          <w:sz w:val="23"/>
          <w:szCs w:val="23"/>
        </w:rPr>
        <w:t xml:space="preserve">. </w:t>
      </w:r>
      <w:r w:rsidR="00C87A5D" w:rsidRPr="008D5567">
        <w:rPr>
          <w:rFonts w:ascii="Times New Roman" w:hAnsi="Times New Roman" w:cs="Times New Roman"/>
          <w:bCs/>
          <w:sz w:val="23"/>
          <w:szCs w:val="23"/>
        </w:rPr>
        <w:t>A</w:t>
      </w:r>
      <w:r w:rsidR="00E13E73" w:rsidRPr="008D5567">
        <w:rPr>
          <w:rFonts w:ascii="Times New Roman" w:hAnsi="Times New Roman" w:cs="Times New Roman"/>
          <w:bCs/>
          <w:sz w:val="23"/>
          <w:szCs w:val="23"/>
        </w:rPr>
        <w:t xml:space="preserve"> mandatory procurement of capacity (MW) is contrary to an energy-only market design. Energy and Ancillary Service markets could be modified to meet a target Reliability standard to ensure resource adequacy. </w:t>
      </w:r>
    </w:p>
    <w:p w14:paraId="5EA75540" w14:textId="54C58455" w:rsidR="0006004F" w:rsidRPr="008D5567" w:rsidRDefault="00794C7A" w:rsidP="000E0A0F">
      <w:pPr>
        <w:pStyle w:val="ListParagraph"/>
        <w:numPr>
          <w:ilvl w:val="0"/>
          <w:numId w:val="23"/>
        </w:numPr>
        <w:spacing w:line="360" w:lineRule="auto"/>
        <w:jc w:val="both"/>
        <w:rPr>
          <w:rFonts w:ascii="Times New Roman" w:hAnsi="Times New Roman" w:cs="Times New Roman"/>
          <w:sz w:val="23"/>
          <w:szCs w:val="23"/>
        </w:rPr>
      </w:pPr>
      <w:r w:rsidRPr="008D5567">
        <w:rPr>
          <w:rFonts w:ascii="Times New Roman" w:hAnsi="Times New Roman" w:cs="Times New Roman"/>
          <w:b/>
          <w:i/>
          <w:iCs/>
          <w:sz w:val="23"/>
          <w:szCs w:val="23"/>
        </w:rPr>
        <w:t>R</w:t>
      </w:r>
      <w:r w:rsidR="003C204C" w:rsidRPr="008D5567">
        <w:rPr>
          <w:rFonts w:ascii="Times New Roman" w:hAnsi="Times New Roman" w:cs="Times New Roman"/>
          <w:b/>
          <w:i/>
          <w:iCs/>
          <w:sz w:val="23"/>
          <w:szCs w:val="23"/>
        </w:rPr>
        <w:t>etaining 1-in-</w:t>
      </w:r>
      <w:proofErr w:type="gramStart"/>
      <w:r w:rsidR="003C204C" w:rsidRPr="008D5567">
        <w:rPr>
          <w:rFonts w:ascii="Times New Roman" w:hAnsi="Times New Roman" w:cs="Times New Roman"/>
          <w:b/>
          <w:i/>
          <w:iCs/>
          <w:sz w:val="23"/>
          <w:szCs w:val="23"/>
        </w:rPr>
        <w:t>10 year</w:t>
      </w:r>
      <w:proofErr w:type="gramEnd"/>
      <w:r w:rsidR="003C204C" w:rsidRPr="008D5567">
        <w:rPr>
          <w:rFonts w:ascii="Times New Roman" w:hAnsi="Times New Roman" w:cs="Times New Roman"/>
          <w:b/>
          <w:i/>
          <w:iCs/>
          <w:sz w:val="23"/>
          <w:szCs w:val="23"/>
        </w:rPr>
        <w:t xml:space="preserve"> Loss of Load Event (LOLE) Standard</w:t>
      </w:r>
      <w:r w:rsidR="001250E5" w:rsidRPr="008D5567">
        <w:rPr>
          <w:rFonts w:ascii="Times New Roman" w:hAnsi="Times New Roman" w:cs="Times New Roman"/>
          <w:b/>
          <w:i/>
          <w:iCs/>
          <w:sz w:val="23"/>
          <w:szCs w:val="23"/>
        </w:rPr>
        <w:t xml:space="preserve"> </w:t>
      </w:r>
      <w:r w:rsidR="00BA7683" w:rsidRPr="008D5567">
        <w:rPr>
          <w:rFonts w:ascii="Times New Roman" w:hAnsi="Times New Roman" w:cs="Times New Roman"/>
          <w:b/>
          <w:i/>
          <w:iCs/>
          <w:sz w:val="23"/>
          <w:szCs w:val="23"/>
        </w:rPr>
        <w:t xml:space="preserve">and </w:t>
      </w:r>
      <w:r w:rsidR="00DD2ABB" w:rsidRPr="008D5567">
        <w:rPr>
          <w:rFonts w:ascii="Times New Roman" w:hAnsi="Times New Roman" w:cs="Times New Roman"/>
          <w:b/>
          <w:i/>
          <w:iCs/>
          <w:sz w:val="23"/>
          <w:szCs w:val="23"/>
        </w:rPr>
        <w:t>set</w:t>
      </w:r>
      <w:r w:rsidR="00BA7683" w:rsidRPr="008D5567">
        <w:rPr>
          <w:rFonts w:ascii="Times New Roman" w:hAnsi="Times New Roman" w:cs="Times New Roman"/>
          <w:b/>
          <w:i/>
          <w:iCs/>
          <w:sz w:val="23"/>
          <w:szCs w:val="23"/>
        </w:rPr>
        <w:t>ting</w:t>
      </w:r>
      <w:r w:rsidR="00DD2ABB" w:rsidRPr="008D5567">
        <w:rPr>
          <w:rFonts w:ascii="Times New Roman" w:hAnsi="Times New Roman" w:cs="Times New Roman"/>
          <w:b/>
          <w:i/>
          <w:iCs/>
          <w:sz w:val="23"/>
          <w:szCs w:val="23"/>
        </w:rPr>
        <w:t xml:space="preserve"> a limit on # of hours</w:t>
      </w:r>
      <w:r w:rsidR="00CC6FA2" w:rsidRPr="008D5567">
        <w:rPr>
          <w:rFonts w:ascii="Times New Roman" w:hAnsi="Times New Roman" w:cs="Times New Roman"/>
          <w:b/>
          <w:i/>
          <w:iCs/>
          <w:sz w:val="23"/>
          <w:szCs w:val="23"/>
        </w:rPr>
        <w:t xml:space="preserve"> and maximum MWs</w:t>
      </w:r>
      <w:r w:rsidR="00DD2ABB" w:rsidRPr="008D5567">
        <w:rPr>
          <w:rFonts w:ascii="Times New Roman" w:hAnsi="Times New Roman" w:cs="Times New Roman"/>
          <w:b/>
          <w:i/>
          <w:iCs/>
          <w:sz w:val="23"/>
          <w:szCs w:val="23"/>
        </w:rPr>
        <w:t xml:space="preserve"> </w:t>
      </w:r>
      <w:r w:rsidR="00CC6FA2" w:rsidRPr="008D5567">
        <w:rPr>
          <w:rFonts w:ascii="Times New Roman" w:hAnsi="Times New Roman" w:cs="Times New Roman"/>
          <w:b/>
          <w:i/>
          <w:iCs/>
          <w:sz w:val="23"/>
          <w:szCs w:val="23"/>
        </w:rPr>
        <w:t>of any load shed event</w:t>
      </w:r>
      <w:r w:rsidR="00BA7683" w:rsidRPr="008D5567">
        <w:rPr>
          <w:rFonts w:ascii="Times New Roman" w:hAnsi="Times New Roman" w:cs="Times New Roman"/>
          <w:b/>
          <w:i/>
          <w:iCs/>
          <w:sz w:val="23"/>
          <w:szCs w:val="23"/>
        </w:rPr>
        <w:t xml:space="preserve"> </w:t>
      </w:r>
      <w:r w:rsidR="00F14C98" w:rsidRPr="008D5567">
        <w:rPr>
          <w:rFonts w:ascii="Times New Roman" w:hAnsi="Times New Roman" w:cs="Times New Roman"/>
          <w:b/>
          <w:i/>
          <w:iCs/>
          <w:sz w:val="23"/>
          <w:szCs w:val="23"/>
        </w:rPr>
        <w:t>results in inefficient outcome</w:t>
      </w:r>
      <w:r w:rsidR="003C204C" w:rsidRPr="008D5567">
        <w:rPr>
          <w:rFonts w:ascii="Times New Roman" w:hAnsi="Times New Roman" w:cs="Times New Roman"/>
          <w:b/>
          <w:i/>
          <w:iCs/>
          <w:sz w:val="23"/>
          <w:szCs w:val="23"/>
        </w:rPr>
        <w:t>:</w:t>
      </w:r>
      <w:r w:rsidR="00054729" w:rsidRPr="008D5567">
        <w:rPr>
          <w:rFonts w:ascii="Times New Roman" w:hAnsi="Times New Roman" w:cs="Times New Roman"/>
          <w:bCs/>
          <w:sz w:val="23"/>
          <w:szCs w:val="23"/>
        </w:rPr>
        <w:t xml:space="preserve"> The traditional LOLE Standard does not capture the magnitude or duration of a loss of load event and hence could distort the reliability needs of the system</w:t>
      </w:r>
      <w:r w:rsidR="0048036D" w:rsidRPr="008D5567">
        <w:rPr>
          <w:rFonts w:ascii="Times New Roman" w:hAnsi="Times New Roman" w:cs="Times New Roman"/>
          <w:bCs/>
          <w:sz w:val="23"/>
          <w:szCs w:val="23"/>
        </w:rPr>
        <w:t>. While</w:t>
      </w:r>
      <w:r w:rsidR="00054729" w:rsidRPr="008D5567">
        <w:rPr>
          <w:rFonts w:ascii="Times New Roman" w:hAnsi="Times New Roman" w:cs="Times New Roman"/>
          <w:sz w:val="23"/>
          <w:szCs w:val="23"/>
        </w:rPr>
        <w:t xml:space="preserve"> a target reliability standard based on the Normalized Expected Unserved Energy (NEUE) creates a boundary condition for system based on frequency, duration, magnitude, probability, system size and cost of the event</w:t>
      </w:r>
      <w:r w:rsidR="00054729" w:rsidRPr="008D5567">
        <w:rPr>
          <w:rFonts w:ascii="Times New Roman" w:hAnsi="Times New Roman" w:cs="Times New Roman"/>
          <w:b/>
          <w:bCs/>
          <w:sz w:val="23"/>
          <w:szCs w:val="23"/>
        </w:rPr>
        <w:t>.</w:t>
      </w:r>
      <w:r w:rsidR="00CC6FA2" w:rsidRPr="008D5567">
        <w:rPr>
          <w:rFonts w:ascii="Times New Roman" w:hAnsi="Times New Roman" w:cs="Times New Roman"/>
          <w:b/>
          <w:bCs/>
          <w:sz w:val="23"/>
          <w:szCs w:val="23"/>
        </w:rPr>
        <w:t xml:space="preserve"> </w:t>
      </w:r>
      <w:r w:rsidR="00962FD0" w:rsidRPr="008D5567">
        <w:rPr>
          <w:rFonts w:ascii="Times New Roman" w:hAnsi="Times New Roman" w:cs="Times New Roman"/>
          <w:sz w:val="23"/>
          <w:szCs w:val="23"/>
        </w:rPr>
        <w:t>The design of any target reserve margin reliability standard for ERCOT must find a way to balance tradeoffs between cost and reliability benefit</w:t>
      </w:r>
      <w:r w:rsidR="00CE4BA5" w:rsidRPr="008D5567">
        <w:rPr>
          <w:rFonts w:ascii="Times New Roman" w:hAnsi="Times New Roman" w:cs="Times New Roman"/>
          <w:sz w:val="23"/>
          <w:szCs w:val="23"/>
        </w:rPr>
        <w:t>s</w:t>
      </w:r>
      <w:r w:rsidR="00962FD0" w:rsidRPr="008D5567">
        <w:rPr>
          <w:rFonts w:ascii="Times New Roman" w:hAnsi="Times New Roman" w:cs="Times New Roman"/>
          <w:sz w:val="23"/>
          <w:szCs w:val="23"/>
        </w:rPr>
        <w:t>.</w:t>
      </w:r>
      <w:r w:rsidR="00CC6FA2" w:rsidRPr="008D5567">
        <w:rPr>
          <w:rFonts w:ascii="Times New Roman" w:hAnsi="Times New Roman" w:cs="Times New Roman"/>
          <w:sz w:val="23"/>
          <w:szCs w:val="23"/>
        </w:rPr>
        <w:t xml:space="preserve"> </w:t>
      </w:r>
      <w:r w:rsidR="00A8413D" w:rsidRPr="008D5567">
        <w:rPr>
          <w:rFonts w:ascii="Times New Roman" w:hAnsi="Times New Roman" w:cs="Times New Roman"/>
          <w:sz w:val="23"/>
          <w:szCs w:val="23"/>
        </w:rPr>
        <w:t xml:space="preserve">The target reliability metric should be statistical in nature. </w:t>
      </w:r>
      <w:r w:rsidR="002074E8" w:rsidRPr="008D5567">
        <w:rPr>
          <w:rFonts w:ascii="Times New Roman" w:hAnsi="Times New Roman" w:cs="Times New Roman"/>
          <w:sz w:val="23"/>
          <w:szCs w:val="23"/>
        </w:rPr>
        <w:t xml:space="preserve">The </w:t>
      </w:r>
      <w:r w:rsidR="00A8413D" w:rsidRPr="008D5567">
        <w:rPr>
          <w:rFonts w:ascii="Times New Roman" w:hAnsi="Times New Roman" w:cs="Times New Roman"/>
          <w:sz w:val="23"/>
          <w:szCs w:val="23"/>
        </w:rPr>
        <w:t xml:space="preserve">marginal improvement in reliability </w:t>
      </w:r>
      <w:r w:rsidR="002074E8" w:rsidRPr="008D5567">
        <w:rPr>
          <w:rFonts w:ascii="Times New Roman" w:hAnsi="Times New Roman" w:cs="Times New Roman"/>
          <w:sz w:val="23"/>
          <w:szCs w:val="23"/>
        </w:rPr>
        <w:t xml:space="preserve">should be considered </w:t>
      </w:r>
      <w:r w:rsidR="00A8413D" w:rsidRPr="008D5567">
        <w:rPr>
          <w:rFonts w:ascii="Times New Roman" w:hAnsi="Times New Roman" w:cs="Times New Roman"/>
          <w:sz w:val="23"/>
          <w:szCs w:val="23"/>
        </w:rPr>
        <w:t xml:space="preserve">by ensuring that the </w:t>
      </w:r>
      <w:r w:rsidR="00211449" w:rsidRPr="008D5567">
        <w:rPr>
          <w:rFonts w:ascii="Times New Roman" w:hAnsi="Times New Roman" w:cs="Times New Roman"/>
          <w:sz w:val="23"/>
          <w:szCs w:val="23"/>
        </w:rPr>
        <w:t xml:space="preserve">adopted </w:t>
      </w:r>
      <w:r w:rsidR="00A8413D" w:rsidRPr="008D5567">
        <w:rPr>
          <w:rFonts w:ascii="Times New Roman" w:hAnsi="Times New Roman" w:cs="Times New Roman"/>
          <w:sz w:val="23"/>
          <w:szCs w:val="23"/>
        </w:rPr>
        <w:t>reliability standard is probability-based</w:t>
      </w:r>
      <w:r w:rsidR="002074E8" w:rsidRPr="008D5567">
        <w:rPr>
          <w:rFonts w:ascii="Times New Roman" w:hAnsi="Times New Roman" w:cs="Times New Roman"/>
          <w:sz w:val="23"/>
          <w:szCs w:val="23"/>
        </w:rPr>
        <w:t>. T</w:t>
      </w:r>
      <w:r w:rsidR="00A8413D" w:rsidRPr="008D5567">
        <w:rPr>
          <w:rFonts w:ascii="Times New Roman" w:hAnsi="Times New Roman" w:cs="Times New Roman"/>
          <w:sz w:val="23"/>
          <w:szCs w:val="23"/>
        </w:rPr>
        <w:t>he reliability standard should not be applied to the actual system reliability, but rather to probabilistic simulations of reliability which will in turn set market parameters</w:t>
      </w:r>
      <w:r w:rsidR="00CC6FA2" w:rsidRPr="008D5567">
        <w:rPr>
          <w:rFonts w:ascii="Times New Roman" w:hAnsi="Times New Roman" w:cs="Times New Roman"/>
          <w:sz w:val="23"/>
          <w:szCs w:val="23"/>
        </w:rPr>
        <w:t xml:space="preserve">. </w:t>
      </w:r>
      <w:r w:rsidR="0006004F" w:rsidRPr="008D5567">
        <w:rPr>
          <w:rFonts w:ascii="Times New Roman" w:hAnsi="Times New Roman" w:cs="Times New Roman"/>
          <w:sz w:val="23"/>
          <w:szCs w:val="23"/>
        </w:rPr>
        <w:t xml:space="preserve">Value based risk analysis is </w:t>
      </w:r>
      <w:r w:rsidR="008A2782" w:rsidRPr="008D5567">
        <w:rPr>
          <w:rFonts w:ascii="Times New Roman" w:hAnsi="Times New Roman" w:cs="Times New Roman"/>
          <w:color w:val="000000"/>
          <w:sz w:val="23"/>
          <w:szCs w:val="23"/>
        </w:rPr>
        <w:t>property conducted using probability weighted numbers, not</w:t>
      </w:r>
      <w:r w:rsidR="008A2782" w:rsidRPr="008D5567">
        <w:rPr>
          <w:rFonts w:ascii="Times New Roman" w:hAnsi="Times New Roman" w:cs="Times New Roman"/>
          <w:sz w:val="23"/>
          <w:szCs w:val="23"/>
        </w:rPr>
        <w:t xml:space="preserve"> </w:t>
      </w:r>
      <w:r w:rsidR="0006004F" w:rsidRPr="008D5567">
        <w:rPr>
          <w:rFonts w:ascii="Times New Roman" w:hAnsi="Times New Roman" w:cs="Times New Roman"/>
          <w:sz w:val="23"/>
          <w:szCs w:val="23"/>
        </w:rPr>
        <w:t>using</w:t>
      </w:r>
      <w:r w:rsidR="008A2782" w:rsidRPr="008D5567">
        <w:rPr>
          <w:rFonts w:ascii="Times New Roman" w:hAnsi="Times New Roman" w:cs="Times New Roman"/>
          <w:sz w:val="23"/>
          <w:szCs w:val="23"/>
        </w:rPr>
        <w:t xml:space="preserve"> just</w:t>
      </w:r>
      <w:r w:rsidR="0006004F" w:rsidRPr="008D5567">
        <w:rPr>
          <w:rFonts w:ascii="Times New Roman" w:hAnsi="Times New Roman" w:cs="Times New Roman"/>
          <w:sz w:val="23"/>
          <w:szCs w:val="23"/>
        </w:rPr>
        <w:t xml:space="preserve"> a single number. All the reliability metrics from the 45 different regions/countries that are listed in ERCOT’s filing are based on probability weighted values.    </w:t>
      </w:r>
    </w:p>
    <w:p w14:paraId="010F4D7E" w14:textId="7E566BB8" w:rsidR="00B06776" w:rsidRPr="008D5567" w:rsidRDefault="00F14C98" w:rsidP="00283C8C">
      <w:pPr>
        <w:pStyle w:val="ListParagraph"/>
        <w:numPr>
          <w:ilvl w:val="0"/>
          <w:numId w:val="23"/>
        </w:numPr>
        <w:spacing w:line="360" w:lineRule="auto"/>
        <w:jc w:val="both"/>
        <w:rPr>
          <w:rFonts w:ascii="Times New Roman" w:hAnsi="Times New Roman" w:cs="Times New Roman"/>
          <w:sz w:val="23"/>
          <w:szCs w:val="23"/>
        </w:rPr>
      </w:pPr>
      <w:r w:rsidRPr="008D5567">
        <w:rPr>
          <w:rFonts w:ascii="Times New Roman" w:hAnsi="Times New Roman" w:cs="Times New Roman"/>
          <w:b/>
          <w:i/>
          <w:iCs/>
          <w:sz w:val="23"/>
          <w:szCs w:val="23"/>
        </w:rPr>
        <w:t>N</w:t>
      </w:r>
      <w:r w:rsidR="00CC6FA2" w:rsidRPr="008D5567">
        <w:rPr>
          <w:rFonts w:ascii="Times New Roman" w:hAnsi="Times New Roman" w:cs="Times New Roman"/>
          <w:b/>
          <w:i/>
          <w:iCs/>
          <w:sz w:val="23"/>
          <w:szCs w:val="23"/>
        </w:rPr>
        <w:t xml:space="preserve">EUE </w:t>
      </w:r>
      <w:r w:rsidR="001F54DE" w:rsidRPr="008D5567">
        <w:rPr>
          <w:rFonts w:ascii="Times New Roman" w:hAnsi="Times New Roman" w:cs="Times New Roman"/>
          <w:b/>
          <w:i/>
          <w:iCs/>
          <w:sz w:val="23"/>
          <w:szCs w:val="23"/>
        </w:rPr>
        <w:t xml:space="preserve">provides a higher </w:t>
      </w:r>
      <w:r w:rsidR="00CC6FA2" w:rsidRPr="008D5567">
        <w:rPr>
          <w:rFonts w:ascii="Times New Roman" w:hAnsi="Times New Roman" w:cs="Times New Roman"/>
          <w:b/>
          <w:i/>
          <w:iCs/>
          <w:sz w:val="23"/>
          <w:szCs w:val="23"/>
        </w:rPr>
        <w:t>level of reliability than 1-in-10 Year LOLE:</w:t>
      </w:r>
      <w:r w:rsidR="00283C8C" w:rsidRPr="008D5567">
        <w:rPr>
          <w:rFonts w:ascii="Times New Roman" w:hAnsi="Times New Roman" w:cs="Times New Roman"/>
          <w:bCs/>
          <w:sz w:val="23"/>
          <w:szCs w:val="23"/>
        </w:rPr>
        <w:t xml:space="preserve"> From a statistical perspective, A 0.02% NEUE gives you the same level of reliability as a 1 day in </w:t>
      </w:r>
      <w:proofErr w:type="gramStart"/>
      <w:r w:rsidR="00283C8C" w:rsidRPr="008D5567">
        <w:rPr>
          <w:rFonts w:ascii="Times New Roman" w:hAnsi="Times New Roman" w:cs="Times New Roman"/>
          <w:bCs/>
          <w:sz w:val="23"/>
          <w:szCs w:val="23"/>
        </w:rPr>
        <w:t>10 year</w:t>
      </w:r>
      <w:proofErr w:type="gramEnd"/>
      <w:r w:rsidR="00283C8C" w:rsidRPr="008D5567">
        <w:rPr>
          <w:rFonts w:ascii="Times New Roman" w:hAnsi="Times New Roman" w:cs="Times New Roman"/>
          <w:bCs/>
          <w:sz w:val="23"/>
          <w:szCs w:val="23"/>
        </w:rPr>
        <w:t xml:space="preserve"> (2.4 hour per 8760 hours in a year) reliability standard. At the same time, NEUE reliability standard would have the immediate advantage of allowing ERCOT to value unserved energy directly and hence better account for cost-benefit of actions to be taken to improve reliability. A target 0.002% NEUE reliability standard as used in Australia is more stringent by a factor of 10 in absolute magnitude than a 1 day in </w:t>
      </w:r>
      <w:proofErr w:type="gramStart"/>
      <w:r w:rsidR="00283C8C" w:rsidRPr="008D5567">
        <w:rPr>
          <w:rFonts w:ascii="Times New Roman" w:hAnsi="Times New Roman" w:cs="Times New Roman"/>
          <w:bCs/>
          <w:sz w:val="23"/>
          <w:szCs w:val="23"/>
        </w:rPr>
        <w:t>10 year</w:t>
      </w:r>
      <w:proofErr w:type="gramEnd"/>
      <w:r w:rsidR="00283C8C" w:rsidRPr="008D5567">
        <w:rPr>
          <w:rFonts w:ascii="Times New Roman" w:hAnsi="Times New Roman" w:cs="Times New Roman"/>
          <w:bCs/>
          <w:sz w:val="23"/>
          <w:szCs w:val="23"/>
        </w:rPr>
        <w:t xml:space="preserve"> reliability standard. A target 0.002% NEUE reliability standard is already deep in the tail end of the risk profiles, where large expenditures will have diminishing risk benefit returns showing that a system designed based on a NEUE reliability standard can provide a much more reliable outcome tha</w:t>
      </w:r>
      <w:r w:rsidR="008D5567" w:rsidRPr="008D5567">
        <w:rPr>
          <w:rFonts w:ascii="Times New Roman" w:hAnsi="Times New Roman" w:cs="Times New Roman"/>
          <w:bCs/>
          <w:sz w:val="23"/>
          <w:szCs w:val="23"/>
        </w:rPr>
        <w:t xml:space="preserve">n </w:t>
      </w:r>
      <w:r w:rsidR="00283C8C" w:rsidRPr="008D5567">
        <w:rPr>
          <w:rFonts w:ascii="Times New Roman" w:hAnsi="Times New Roman" w:cs="Times New Roman"/>
          <w:bCs/>
          <w:sz w:val="23"/>
          <w:szCs w:val="23"/>
        </w:rPr>
        <w:t>if it were designed based on LOLE.</w:t>
      </w:r>
    </w:p>
    <w:sectPr w:rsidR="00B06776" w:rsidRPr="008D5567">
      <w:headerReference w:type="default" r:id="rId9"/>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IAEIAYgB1AGw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D4B2" w14:textId="77777777" w:rsidR="00C63438" w:rsidRDefault="00C63438" w:rsidP="0017299E">
      <w:r>
        <w:separator/>
      </w:r>
    </w:p>
  </w:endnote>
  <w:endnote w:type="continuationSeparator" w:id="0">
    <w:p w14:paraId="38CFD185" w14:textId="77777777" w:rsidR="00C63438" w:rsidRDefault="00C63438" w:rsidP="0017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hiller">
    <w:panose1 w:val="040204040310070206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FEC3" w14:textId="73CA6BAE" w:rsidR="00B14735" w:rsidRDefault="00B14735">
    <w:pPr>
      <w:pStyle w:val="Footer"/>
      <w:jc w:val="center"/>
    </w:pPr>
  </w:p>
  <w:p w14:paraId="1E303A18" w14:textId="77777777" w:rsidR="00B14735" w:rsidRDefault="00B14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CA34" w14:textId="77777777" w:rsidR="00C63438" w:rsidRDefault="00C63438" w:rsidP="0017299E">
      <w:r>
        <w:separator/>
      </w:r>
    </w:p>
  </w:footnote>
  <w:footnote w:type="continuationSeparator" w:id="0">
    <w:p w14:paraId="1D54979A" w14:textId="77777777" w:rsidR="00C63438" w:rsidRDefault="00C63438" w:rsidP="0017299E">
      <w:r>
        <w:continuationSeparator/>
      </w:r>
    </w:p>
  </w:footnote>
  <w:footnote w:id="1">
    <w:p w14:paraId="70675F48" w14:textId="77777777" w:rsidR="009127AB" w:rsidRDefault="009127AB" w:rsidP="009127AB">
      <w:pPr>
        <w:pStyle w:val="FootnoteText"/>
        <w:rPr>
          <w:rFonts w:asciiTheme="minorHAnsi" w:hAnsiTheme="minorHAnsi" w:cstheme="minorBidi"/>
        </w:rPr>
      </w:pPr>
      <w:r>
        <w:rPr>
          <w:rStyle w:val="FootnoteReference"/>
        </w:rPr>
        <w:footnoteRef/>
      </w:r>
      <w:r>
        <w:t xml:space="preserve"> HEN Comments at 3.</w:t>
      </w:r>
    </w:p>
  </w:footnote>
  <w:footnote w:id="2">
    <w:p w14:paraId="02C84E97" w14:textId="77777777" w:rsidR="003C204C" w:rsidRDefault="003C204C" w:rsidP="003C204C">
      <w:pPr>
        <w:pStyle w:val="FootnoteText"/>
        <w:rPr>
          <w:rFonts w:asciiTheme="minorHAnsi" w:hAnsiTheme="minorHAnsi" w:cstheme="minorBidi"/>
        </w:rPr>
      </w:pPr>
      <w:r>
        <w:rPr>
          <w:rStyle w:val="FootnoteReference"/>
        </w:rPr>
        <w:footnoteRef/>
      </w:r>
      <w:r>
        <w:t xml:space="preserve"> STEC Comments at 5.</w:t>
      </w:r>
    </w:p>
  </w:footnote>
  <w:footnote w:id="3">
    <w:p w14:paraId="7E94765A" w14:textId="77777777" w:rsidR="007E596E" w:rsidRPr="00BE0BFB" w:rsidRDefault="007E596E" w:rsidP="007E596E">
      <w:pPr>
        <w:pStyle w:val="FootnoteText"/>
        <w:jc w:val="both"/>
        <w:rPr>
          <w:sz w:val="18"/>
          <w:szCs w:val="18"/>
        </w:rPr>
      </w:pPr>
      <w:r w:rsidRPr="00E03C68">
        <w:rPr>
          <w:rStyle w:val="FootnoteReference"/>
          <w:sz w:val="18"/>
          <w:szCs w:val="18"/>
        </w:rPr>
        <w:footnoteRef/>
      </w:r>
      <w:r w:rsidRPr="00E03C68">
        <w:rPr>
          <w:sz w:val="18"/>
          <w:szCs w:val="18"/>
        </w:rPr>
        <w:t xml:space="preserve"> </w:t>
      </w:r>
      <w:r w:rsidRPr="00BE0BFB">
        <w:rPr>
          <w:sz w:val="18"/>
          <w:szCs w:val="18"/>
        </w:rPr>
        <w:t>Tex. S.B. 3, 87</w:t>
      </w:r>
      <w:r w:rsidRPr="00BE0BFB">
        <w:rPr>
          <w:sz w:val="18"/>
          <w:szCs w:val="18"/>
          <w:vertAlign w:val="superscript"/>
        </w:rPr>
        <w:t>th</w:t>
      </w:r>
      <w:r w:rsidRPr="00BE0BFB">
        <w:rPr>
          <w:sz w:val="18"/>
          <w:szCs w:val="18"/>
        </w:rPr>
        <w:t xml:space="preserve"> Leg., R.S. (2021)</w:t>
      </w:r>
      <w:r>
        <w:rPr>
          <w:sz w:val="18"/>
          <w:szCs w:val="18"/>
        </w:rPr>
        <w:t xml:space="preserve"> § 18</w:t>
      </w:r>
      <w:r w:rsidRPr="00BE0BFB">
        <w:rPr>
          <w:sz w:val="18"/>
          <w:szCs w:val="18"/>
        </w:rPr>
        <w:t xml:space="preserve">, </w:t>
      </w:r>
      <w:r>
        <w:rPr>
          <w:sz w:val="18"/>
          <w:szCs w:val="18"/>
        </w:rPr>
        <w:t xml:space="preserve">as </w:t>
      </w:r>
      <w:r w:rsidRPr="00BE0BFB">
        <w:rPr>
          <w:sz w:val="18"/>
          <w:szCs w:val="18"/>
        </w:rPr>
        <w:t>codified as PURA § 39.159(b)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rPr>
        <w:sz w:val="24"/>
        <w:szCs w:val="24"/>
      </w:rPr>
    </w:sdtEndPr>
    <w:sdtContent>
      <w:p w14:paraId="39FA989C" w14:textId="77777777" w:rsidR="00F40BF9" w:rsidRPr="00F40BF9" w:rsidRDefault="00F40BF9">
        <w:pPr>
          <w:pStyle w:val="Header"/>
          <w:jc w:val="right"/>
          <w:rPr>
            <w:b/>
            <w:bCs/>
          </w:rPr>
        </w:pPr>
        <w:r w:rsidRPr="00F40BF9">
          <w:rPr>
            <w:b/>
            <w:bCs/>
            <w:sz w:val="20"/>
            <w:szCs w:val="20"/>
          </w:rPr>
          <w:t xml:space="preserve">Page </w:t>
        </w:r>
        <w:r w:rsidRPr="00F40BF9">
          <w:rPr>
            <w:b/>
            <w:bCs/>
            <w:sz w:val="20"/>
            <w:szCs w:val="20"/>
          </w:rPr>
          <w:fldChar w:fldCharType="begin"/>
        </w:r>
        <w:r w:rsidRPr="00F40BF9">
          <w:rPr>
            <w:b/>
            <w:bCs/>
            <w:sz w:val="20"/>
            <w:szCs w:val="20"/>
          </w:rPr>
          <w:instrText xml:space="preserve"> PAGE </w:instrText>
        </w:r>
        <w:r w:rsidRPr="00F40BF9">
          <w:rPr>
            <w:b/>
            <w:bCs/>
            <w:sz w:val="20"/>
            <w:szCs w:val="20"/>
          </w:rPr>
          <w:fldChar w:fldCharType="separate"/>
        </w:r>
        <w:r w:rsidRPr="00F40BF9">
          <w:rPr>
            <w:b/>
            <w:bCs/>
            <w:noProof/>
            <w:sz w:val="20"/>
            <w:szCs w:val="20"/>
          </w:rPr>
          <w:t>2</w:t>
        </w:r>
        <w:r w:rsidRPr="00F40BF9">
          <w:rPr>
            <w:b/>
            <w:bCs/>
            <w:sz w:val="20"/>
            <w:szCs w:val="20"/>
          </w:rPr>
          <w:fldChar w:fldCharType="end"/>
        </w:r>
        <w:r w:rsidRPr="00F40BF9">
          <w:rPr>
            <w:b/>
            <w:bCs/>
            <w:sz w:val="20"/>
            <w:szCs w:val="20"/>
          </w:rPr>
          <w:t xml:space="preserve"> of </w:t>
        </w:r>
        <w:r w:rsidRPr="00F40BF9">
          <w:rPr>
            <w:b/>
            <w:bCs/>
            <w:sz w:val="20"/>
            <w:szCs w:val="20"/>
          </w:rPr>
          <w:fldChar w:fldCharType="begin"/>
        </w:r>
        <w:r w:rsidRPr="00F40BF9">
          <w:rPr>
            <w:b/>
            <w:bCs/>
            <w:sz w:val="20"/>
            <w:szCs w:val="20"/>
          </w:rPr>
          <w:instrText xml:space="preserve"> NUMPAGES  </w:instrText>
        </w:r>
        <w:r w:rsidRPr="00F40BF9">
          <w:rPr>
            <w:b/>
            <w:bCs/>
            <w:sz w:val="20"/>
            <w:szCs w:val="20"/>
          </w:rPr>
          <w:fldChar w:fldCharType="separate"/>
        </w:r>
        <w:r w:rsidRPr="00F40BF9">
          <w:rPr>
            <w:b/>
            <w:bCs/>
            <w:noProof/>
            <w:sz w:val="20"/>
            <w:szCs w:val="20"/>
          </w:rPr>
          <w:t>2</w:t>
        </w:r>
        <w:r w:rsidRPr="00F40BF9">
          <w:rPr>
            <w:b/>
            <w:bCs/>
            <w:sz w:val="20"/>
            <w:szCs w:val="20"/>
          </w:rPr>
          <w:fldChar w:fldCharType="end"/>
        </w:r>
      </w:p>
    </w:sdtContent>
  </w:sdt>
  <w:p w14:paraId="78223EAF" w14:textId="77777777" w:rsidR="002E611C" w:rsidRDefault="002E611C" w:rsidP="00F40B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596"/>
    <w:multiLevelType w:val="hybridMultilevel"/>
    <w:tmpl w:val="5C3E30C6"/>
    <w:lvl w:ilvl="0" w:tplc="E4BEDD74">
      <w:start w:val="1"/>
      <w:numFmt w:val="upperRoman"/>
      <w:lvlText w:val="%1."/>
      <w:lvlJc w:val="left"/>
      <w:pPr>
        <w:ind w:left="1080" w:hanging="720"/>
      </w:pPr>
      <w:rPr>
        <w:rFonts w:eastAsia="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CF785F"/>
    <w:multiLevelType w:val="hybridMultilevel"/>
    <w:tmpl w:val="F3406236"/>
    <w:name w:val="HBsbul"/>
    <w:lvl w:ilvl="0" w:tplc="A886CBCC">
      <w:start w:val="1"/>
      <w:numFmt w:val="bullet"/>
      <w:pStyle w:val="HBsbul"/>
      <w:lvlText w:val=""/>
      <w:lvlJc w:val="left"/>
      <w:pPr>
        <w:tabs>
          <w:tab w:val="num" w:pos="720"/>
        </w:tabs>
        <w:ind w:left="720" w:hanging="360"/>
      </w:pPr>
      <w:rPr>
        <w:rFonts w:ascii="Symbol" w:hAnsi="Symbol" w:hint="default"/>
        <w:color w:val="808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55826"/>
    <w:multiLevelType w:val="hybridMultilevel"/>
    <w:tmpl w:val="85CE9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107C7"/>
    <w:multiLevelType w:val="hybridMultilevel"/>
    <w:tmpl w:val="2EC0D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A11E8"/>
    <w:multiLevelType w:val="hybridMultilevel"/>
    <w:tmpl w:val="4694F2FE"/>
    <w:name w:val="HBbul"/>
    <w:lvl w:ilvl="0" w:tplc="58ECB79A">
      <w:start w:val="1"/>
      <w:numFmt w:val="bullet"/>
      <w:pStyle w:val="HBbul"/>
      <w:lvlText w:val=""/>
      <w:lvlJc w:val="left"/>
      <w:pPr>
        <w:tabs>
          <w:tab w:val="num" w:pos="360"/>
        </w:tabs>
        <w:ind w:left="36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8D5738"/>
    <w:multiLevelType w:val="hybridMultilevel"/>
    <w:tmpl w:val="DDC8DAE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3942139"/>
    <w:multiLevelType w:val="hybridMultilevel"/>
    <w:tmpl w:val="63C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72EAD"/>
    <w:multiLevelType w:val="hybridMultilevel"/>
    <w:tmpl w:val="8BCE0708"/>
    <w:lvl w:ilvl="0" w:tplc="85661ED8">
      <w:start w:val="5"/>
      <w:numFmt w:val="bullet"/>
      <w:lvlText w:val="-"/>
      <w:lvlJc w:val="left"/>
      <w:pPr>
        <w:ind w:left="720" w:hanging="360"/>
      </w:pPr>
      <w:rPr>
        <w:rFonts w:ascii="Calibri" w:eastAsiaTheme="minorHAnsi" w:hAnsi="Calibri" w:cs="Calibri"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65F4D"/>
    <w:multiLevelType w:val="hybridMultilevel"/>
    <w:tmpl w:val="42842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F21C2"/>
    <w:multiLevelType w:val="hybridMultilevel"/>
    <w:tmpl w:val="9070C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604BC"/>
    <w:multiLevelType w:val="hybridMultilevel"/>
    <w:tmpl w:val="600C1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FC384B"/>
    <w:multiLevelType w:val="hybridMultilevel"/>
    <w:tmpl w:val="9EFC9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FA5DC7"/>
    <w:multiLevelType w:val="hybridMultilevel"/>
    <w:tmpl w:val="2996DA9E"/>
    <w:lvl w:ilvl="0" w:tplc="9A24054A">
      <w:start w:val="6"/>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54C2B23"/>
    <w:multiLevelType w:val="hybridMultilevel"/>
    <w:tmpl w:val="52725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2A6B6C"/>
    <w:multiLevelType w:val="hybridMultilevel"/>
    <w:tmpl w:val="9112C5E0"/>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630A8D"/>
    <w:multiLevelType w:val="hybridMultilevel"/>
    <w:tmpl w:val="F59E6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F7F"/>
    <w:multiLevelType w:val="hybridMultilevel"/>
    <w:tmpl w:val="ABB60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231C3F"/>
    <w:multiLevelType w:val="hybridMultilevel"/>
    <w:tmpl w:val="FBC6761E"/>
    <w:lvl w:ilvl="0" w:tplc="62B41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3F75D6"/>
    <w:multiLevelType w:val="hybridMultilevel"/>
    <w:tmpl w:val="4596066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C20322"/>
    <w:multiLevelType w:val="hybridMultilevel"/>
    <w:tmpl w:val="AF0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06CD4"/>
    <w:multiLevelType w:val="hybridMultilevel"/>
    <w:tmpl w:val="CBDEB992"/>
    <w:lvl w:ilvl="0" w:tplc="D982072E">
      <w:numFmt w:val="bullet"/>
      <w:lvlText w:val="-"/>
      <w:lvlJc w:val="left"/>
      <w:pPr>
        <w:ind w:left="720" w:hanging="360"/>
      </w:pPr>
      <w:rPr>
        <w:rFonts w:ascii="Calibri" w:eastAsiaTheme="minorHAnsi" w:hAnsi="Calibri" w:cs="Calibri" w:hint="default"/>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65D8F"/>
    <w:multiLevelType w:val="hybridMultilevel"/>
    <w:tmpl w:val="C5B89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312EE3"/>
    <w:multiLevelType w:val="hybridMultilevel"/>
    <w:tmpl w:val="C81EB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2E59AD"/>
    <w:multiLevelType w:val="hybridMultilevel"/>
    <w:tmpl w:val="19CCF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A5237D"/>
    <w:multiLevelType w:val="hybridMultilevel"/>
    <w:tmpl w:val="17FA57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7487193">
    <w:abstractNumId w:val="4"/>
  </w:num>
  <w:num w:numId="2" w16cid:durableId="955794378">
    <w:abstractNumId w:val="1"/>
  </w:num>
  <w:num w:numId="3" w16cid:durableId="868958194">
    <w:abstractNumId w:val="13"/>
  </w:num>
  <w:num w:numId="4" w16cid:durableId="508983426">
    <w:abstractNumId w:val="8"/>
  </w:num>
  <w:num w:numId="5" w16cid:durableId="1976835775">
    <w:abstractNumId w:val="6"/>
  </w:num>
  <w:num w:numId="6" w16cid:durableId="2054233051">
    <w:abstractNumId w:val="5"/>
  </w:num>
  <w:num w:numId="7" w16cid:durableId="1947618515">
    <w:abstractNumId w:val="23"/>
  </w:num>
  <w:num w:numId="8" w16cid:durableId="1241140364">
    <w:abstractNumId w:val="14"/>
  </w:num>
  <w:num w:numId="9" w16cid:durableId="395251028">
    <w:abstractNumId w:val="7"/>
  </w:num>
  <w:num w:numId="10" w16cid:durableId="1558466998">
    <w:abstractNumId w:val="2"/>
  </w:num>
  <w:num w:numId="11" w16cid:durableId="1417509940">
    <w:abstractNumId w:val="24"/>
  </w:num>
  <w:num w:numId="12" w16cid:durableId="1989817829">
    <w:abstractNumId w:val="18"/>
  </w:num>
  <w:num w:numId="13" w16cid:durableId="751510363">
    <w:abstractNumId w:val="15"/>
  </w:num>
  <w:num w:numId="14" w16cid:durableId="1127895583">
    <w:abstractNumId w:val="17"/>
  </w:num>
  <w:num w:numId="15" w16cid:durableId="852449855">
    <w:abstractNumId w:val="11"/>
  </w:num>
  <w:num w:numId="16" w16cid:durableId="157381901">
    <w:abstractNumId w:val="16"/>
  </w:num>
  <w:num w:numId="17" w16cid:durableId="2049449869">
    <w:abstractNumId w:val="19"/>
  </w:num>
  <w:num w:numId="18" w16cid:durableId="1344820452">
    <w:abstractNumId w:val="21"/>
  </w:num>
  <w:num w:numId="19" w16cid:durableId="1360551225">
    <w:abstractNumId w:val="20"/>
  </w:num>
  <w:num w:numId="20" w16cid:durableId="931275867">
    <w:abstractNumId w:val="3"/>
  </w:num>
  <w:num w:numId="21" w16cid:durableId="1735541742">
    <w:abstractNumId w:val="10"/>
  </w:num>
  <w:num w:numId="22" w16cid:durableId="1445148311">
    <w:abstractNumId w:val="12"/>
  </w:num>
  <w:num w:numId="23" w16cid:durableId="242837223">
    <w:abstractNumId w:val="22"/>
  </w:num>
  <w:num w:numId="24" w16cid:durableId="1060134473">
    <w:abstractNumId w:val="9"/>
  </w:num>
  <w:num w:numId="25" w16cid:durableId="2850429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33"/>
    <w:rsid w:val="00000D16"/>
    <w:rsid w:val="00001FEA"/>
    <w:rsid w:val="00003C3F"/>
    <w:rsid w:val="00006A6B"/>
    <w:rsid w:val="00007907"/>
    <w:rsid w:val="00015AD4"/>
    <w:rsid w:val="00017C26"/>
    <w:rsid w:val="00017D53"/>
    <w:rsid w:val="00022824"/>
    <w:rsid w:val="0002315F"/>
    <w:rsid w:val="00025AFD"/>
    <w:rsid w:val="00027644"/>
    <w:rsid w:val="00030EAE"/>
    <w:rsid w:val="00031593"/>
    <w:rsid w:val="00032622"/>
    <w:rsid w:val="00032791"/>
    <w:rsid w:val="00034501"/>
    <w:rsid w:val="00036340"/>
    <w:rsid w:val="0003689B"/>
    <w:rsid w:val="00041840"/>
    <w:rsid w:val="000428F7"/>
    <w:rsid w:val="00042A41"/>
    <w:rsid w:val="000433E6"/>
    <w:rsid w:val="00043A86"/>
    <w:rsid w:val="00047BF0"/>
    <w:rsid w:val="00051258"/>
    <w:rsid w:val="000512EE"/>
    <w:rsid w:val="000519A8"/>
    <w:rsid w:val="00052B7D"/>
    <w:rsid w:val="00054729"/>
    <w:rsid w:val="000562F3"/>
    <w:rsid w:val="0005731E"/>
    <w:rsid w:val="0006004F"/>
    <w:rsid w:val="0006420C"/>
    <w:rsid w:val="00064D63"/>
    <w:rsid w:val="000703C8"/>
    <w:rsid w:val="00071CD6"/>
    <w:rsid w:val="00071F07"/>
    <w:rsid w:val="000734E3"/>
    <w:rsid w:val="00074F48"/>
    <w:rsid w:val="0008224D"/>
    <w:rsid w:val="000831B2"/>
    <w:rsid w:val="00083C0D"/>
    <w:rsid w:val="00091DCB"/>
    <w:rsid w:val="00095DD7"/>
    <w:rsid w:val="000961BC"/>
    <w:rsid w:val="00097831"/>
    <w:rsid w:val="000A4806"/>
    <w:rsid w:val="000A4889"/>
    <w:rsid w:val="000A5577"/>
    <w:rsid w:val="000A5E72"/>
    <w:rsid w:val="000A6B5E"/>
    <w:rsid w:val="000B1796"/>
    <w:rsid w:val="000B2539"/>
    <w:rsid w:val="000B6344"/>
    <w:rsid w:val="000B6916"/>
    <w:rsid w:val="000B75B4"/>
    <w:rsid w:val="000C01CF"/>
    <w:rsid w:val="000C32ED"/>
    <w:rsid w:val="000C3E27"/>
    <w:rsid w:val="000D1FC0"/>
    <w:rsid w:val="000D2511"/>
    <w:rsid w:val="000D6E18"/>
    <w:rsid w:val="000E1A6E"/>
    <w:rsid w:val="000E42B6"/>
    <w:rsid w:val="000E4B54"/>
    <w:rsid w:val="000E682D"/>
    <w:rsid w:val="000E77B5"/>
    <w:rsid w:val="000F4BB0"/>
    <w:rsid w:val="000F4C72"/>
    <w:rsid w:val="000F5452"/>
    <w:rsid w:val="000F5513"/>
    <w:rsid w:val="000F656D"/>
    <w:rsid w:val="001013E1"/>
    <w:rsid w:val="00101765"/>
    <w:rsid w:val="0010348B"/>
    <w:rsid w:val="00106074"/>
    <w:rsid w:val="00107BD5"/>
    <w:rsid w:val="001107D6"/>
    <w:rsid w:val="00114A3B"/>
    <w:rsid w:val="001155C7"/>
    <w:rsid w:val="00115AF3"/>
    <w:rsid w:val="00121338"/>
    <w:rsid w:val="00122ABA"/>
    <w:rsid w:val="0012401A"/>
    <w:rsid w:val="001250E5"/>
    <w:rsid w:val="0012746D"/>
    <w:rsid w:val="00132A3D"/>
    <w:rsid w:val="00134443"/>
    <w:rsid w:val="00134F29"/>
    <w:rsid w:val="00135FEB"/>
    <w:rsid w:val="001404FC"/>
    <w:rsid w:val="00146BC3"/>
    <w:rsid w:val="00146E36"/>
    <w:rsid w:val="0014754B"/>
    <w:rsid w:val="00147892"/>
    <w:rsid w:val="0015031C"/>
    <w:rsid w:val="0015578F"/>
    <w:rsid w:val="001562A4"/>
    <w:rsid w:val="00160199"/>
    <w:rsid w:val="00161FE5"/>
    <w:rsid w:val="0016545B"/>
    <w:rsid w:val="0017299E"/>
    <w:rsid w:val="001737B2"/>
    <w:rsid w:val="001748F5"/>
    <w:rsid w:val="0018523B"/>
    <w:rsid w:val="00186CD4"/>
    <w:rsid w:val="00187FDC"/>
    <w:rsid w:val="00191A17"/>
    <w:rsid w:val="00194B2E"/>
    <w:rsid w:val="0019719A"/>
    <w:rsid w:val="001A3254"/>
    <w:rsid w:val="001A5AAD"/>
    <w:rsid w:val="001A5CB3"/>
    <w:rsid w:val="001B2ED6"/>
    <w:rsid w:val="001B3A60"/>
    <w:rsid w:val="001C45B0"/>
    <w:rsid w:val="001C48BC"/>
    <w:rsid w:val="001D17DA"/>
    <w:rsid w:val="001D3427"/>
    <w:rsid w:val="001D6DA1"/>
    <w:rsid w:val="001E01E6"/>
    <w:rsid w:val="001E1018"/>
    <w:rsid w:val="001F4C1E"/>
    <w:rsid w:val="001F4D50"/>
    <w:rsid w:val="001F54DE"/>
    <w:rsid w:val="002041FA"/>
    <w:rsid w:val="00205DD3"/>
    <w:rsid w:val="002070BC"/>
    <w:rsid w:val="002074E8"/>
    <w:rsid w:val="00211449"/>
    <w:rsid w:val="00213724"/>
    <w:rsid w:val="002143C6"/>
    <w:rsid w:val="00216619"/>
    <w:rsid w:val="00217F09"/>
    <w:rsid w:val="00225A6F"/>
    <w:rsid w:val="002328DB"/>
    <w:rsid w:val="00232ABC"/>
    <w:rsid w:val="0023329C"/>
    <w:rsid w:val="002368C1"/>
    <w:rsid w:val="0024077F"/>
    <w:rsid w:val="0024265D"/>
    <w:rsid w:val="00242E75"/>
    <w:rsid w:val="00246B28"/>
    <w:rsid w:val="00246D2C"/>
    <w:rsid w:val="00256518"/>
    <w:rsid w:val="00262AC2"/>
    <w:rsid w:val="00271891"/>
    <w:rsid w:val="00271CB0"/>
    <w:rsid w:val="0027594F"/>
    <w:rsid w:val="00275A4D"/>
    <w:rsid w:val="00277202"/>
    <w:rsid w:val="00281A8D"/>
    <w:rsid w:val="00281EAB"/>
    <w:rsid w:val="00283147"/>
    <w:rsid w:val="00283B12"/>
    <w:rsid w:val="00283C8C"/>
    <w:rsid w:val="0028626E"/>
    <w:rsid w:val="0029052F"/>
    <w:rsid w:val="0029127D"/>
    <w:rsid w:val="0029362C"/>
    <w:rsid w:val="00293724"/>
    <w:rsid w:val="0029429A"/>
    <w:rsid w:val="00294CC7"/>
    <w:rsid w:val="002A23BC"/>
    <w:rsid w:val="002A3593"/>
    <w:rsid w:val="002A46CA"/>
    <w:rsid w:val="002A5838"/>
    <w:rsid w:val="002A79EA"/>
    <w:rsid w:val="002B1566"/>
    <w:rsid w:val="002B1AA7"/>
    <w:rsid w:val="002B35DE"/>
    <w:rsid w:val="002B4A6A"/>
    <w:rsid w:val="002B52BE"/>
    <w:rsid w:val="002C0DB1"/>
    <w:rsid w:val="002C3337"/>
    <w:rsid w:val="002C36B9"/>
    <w:rsid w:val="002C5D92"/>
    <w:rsid w:val="002D0773"/>
    <w:rsid w:val="002D13E1"/>
    <w:rsid w:val="002D25C2"/>
    <w:rsid w:val="002D46F5"/>
    <w:rsid w:val="002D4DD3"/>
    <w:rsid w:val="002D520D"/>
    <w:rsid w:val="002D550D"/>
    <w:rsid w:val="002D6199"/>
    <w:rsid w:val="002E096E"/>
    <w:rsid w:val="002E119C"/>
    <w:rsid w:val="002E3DBB"/>
    <w:rsid w:val="002E467B"/>
    <w:rsid w:val="002E4A67"/>
    <w:rsid w:val="002E611C"/>
    <w:rsid w:val="002F17B5"/>
    <w:rsid w:val="002F17BC"/>
    <w:rsid w:val="002F2F1B"/>
    <w:rsid w:val="002F3199"/>
    <w:rsid w:val="002F77FD"/>
    <w:rsid w:val="003009A6"/>
    <w:rsid w:val="003035CC"/>
    <w:rsid w:val="00303A4C"/>
    <w:rsid w:val="00304252"/>
    <w:rsid w:val="00305B8E"/>
    <w:rsid w:val="00305D93"/>
    <w:rsid w:val="00310424"/>
    <w:rsid w:val="00312600"/>
    <w:rsid w:val="00314BE4"/>
    <w:rsid w:val="003151D7"/>
    <w:rsid w:val="003174A2"/>
    <w:rsid w:val="00321CAE"/>
    <w:rsid w:val="0032629C"/>
    <w:rsid w:val="00327C9C"/>
    <w:rsid w:val="003308AE"/>
    <w:rsid w:val="00335409"/>
    <w:rsid w:val="00335C29"/>
    <w:rsid w:val="00340DF8"/>
    <w:rsid w:val="00341FBB"/>
    <w:rsid w:val="00342D49"/>
    <w:rsid w:val="003520B9"/>
    <w:rsid w:val="00352D36"/>
    <w:rsid w:val="0035438C"/>
    <w:rsid w:val="00355582"/>
    <w:rsid w:val="00356545"/>
    <w:rsid w:val="0035766E"/>
    <w:rsid w:val="00362A54"/>
    <w:rsid w:val="00364101"/>
    <w:rsid w:val="003666ED"/>
    <w:rsid w:val="003737A4"/>
    <w:rsid w:val="00377F6F"/>
    <w:rsid w:val="0038297E"/>
    <w:rsid w:val="003850CD"/>
    <w:rsid w:val="0038610D"/>
    <w:rsid w:val="00390A6F"/>
    <w:rsid w:val="003A1447"/>
    <w:rsid w:val="003B43B3"/>
    <w:rsid w:val="003C0271"/>
    <w:rsid w:val="003C0381"/>
    <w:rsid w:val="003C204C"/>
    <w:rsid w:val="003C2992"/>
    <w:rsid w:val="003C54A2"/>
    <w:rsid w:val="003C5F25"/>
    <w:rsid w:val="003C7B71"/>
    <w:rsid w:val="003D2147"/>
    <w:rsid w:val="003D2B22"/>
    <w:rsid w:val="003D55A0"/>
    <w:rsid w:val="003D6D32"/>
    <w:rsid w:val="003D75F8"/>
    <w:rsid w:val="003E1554"/>
    <w:rsid w:val="003E7508"/>
    <w:rsid w:val="003F0DAB"/>
    <w:rsid w:val="003F0F20"/>
    <w:rsid w:val="003F31ED"/>
    <w:rsid w:val="003F5747"/>
    <w:rsid w:val="003F7F6B"/>
    <w:rsid w:val="00401304"/>
    <w:rsid w:val="0040240D"/>
    <w:rsid w:val="0040398B"/>
    <w:rsid w:val="004069CF"/>
    <w:rsid w:val="00411389"/>
    <w:rsid w:val="00411D21"/>
    <w:rsid w:val="00413C20"/>
    <w:rsid w:val="00417693"/>
    <w:rsid w:val="004208F0"/>
    <w:rsid w:val="00420A47"/>
    <w:rsid w:val="004278BF"/>
    <w:rsid w:val="004325EE"/>
    <w:rsid w:val="00432D10"/>
    <w:rsid w:val="00433079"/>
    <w:rsid w:val="0043363D"/>
    <w:rsid w:val="0043720F"/>
    <w:rsid w:val="00443750"/>
    <w:rsid w:val="00446380"/>
    <w:rsid w:val="00446FA0"/>
    <w:rsid w:val="00447347"/>
    <w:rsid w:val="00450B8A"/>
    <w:rsid w:val="00451AAF"/>
    <w:rsid w:val="00452060"/>
    <w:rsid w:val="00453CFA"/>
    <w:rsid w:val="00454FF7"/>
    <w:rsid w:val="00455298"/>
    <w:rsid w:val="00455342"/>
    <w:rsid w:val="00456243"/>
    <w:rsid w:val="0046103E"/>
    <w:rsid w:val="00461102"/>
    <w:rsid w:val="004637D1"/>
    <w:rsid w:val="004668E2"/>
    <w:rsid w:val="00475B40"/>
    <w:rsid w:val="0048036D"/>
    <w:rsid w:val="004825CE"/>
    <w:rsid w:val="00485B88"/>
    <w:rsid w:val="00486A3B"/>
    <w:rsid w:val="00486FC1"/>
    <w:rsid w:val="00487694"/>
    <w:rsid w:val="00487F12"/>
    <w:rsid w:val="004925B1"/>
    <w:rsid w:val="00496FCA"/>
    <w:rsid w:val="004A2452"/>
    <w:rsid w:val="004A4388"/>
    <w:rsid w:val="004A7DDD"/>
    <w:rsid w:val="004B3C17"/>
    <w:rsid w:val="004B5150"/>
    <w:rsid w:val="004C0EBA"/>
    <w:rsid w:val="004C1430"/>
    <w:rsid w:val="004C187E"/>
    <w:rsid w:val="004C5764"/>
    <w:rsid w:val="004C61C7"/>
    <w:rsid w:val="004D1711"/>
    <w:rsid w:val="004D4C1F"/>
    <w:rsid w:val="004D6D1A"/>
    <w:rsid w:val="004D77F2"/>
    <w:rsid w:val="004E0ABD"/>
    <w:rsid w:val="004E1648"/>
    <w:rsid w:val="004E1E5A"/>
    <w:rsid w:val="004E2432"/>
    <w:rsid w:val="004E6A22"/>
    <w:rsid w:val="004F6322"/>
    <w:rsid w:val="004F6C72"/>
    <w:rsid w:val="005006E9"/>
    <w:rsid w:val="005008A0"/>
    <w:rsid w:val="0050301B"/>
    <w:rsid w:val="00506B35"/>
    <w:rsid w:val="0050726C"/>
    <w:rsid w:val="005078CA"/>
    <w:rsid w:val="00511624"/>
    <w:rsid w:val="00516926"/>
    <w:rsid w:val="0051741B"/>
    <w:rsid w:val="0052278C"/>
    <w:rsid w:val="005228BF"/>
    <w:rsid w:val="005245E7"/>
    <w:rsid w:val="005358F3"/>
    <w:rsid w:val="005442C7"/>
    <w:rsid w:val="0055207E"/>
    <w:rsid w:val="00553113"/>
    <w:rsid w:val="005540A6"/>
    <w:rsid w:val="00555179"/>
    <w:rsid w:val="00560E52"/>
    <w:rsid w:val="00561409"/>
    <w:rsid w:val="0056297E"/>
    <w:rsid w:val="00563A7D"/>
    <w:rsid w:val="005657B0"/>
    <w:rsid w:val="00570943"/>
    <w:rsid w:val="00571768"/>
    <w:rsid w:val="005731B0"/>
    <w:rsid w:val="0057793D"/>
    <w:rsid w:val="005806A6"/>
    <w:rsid w:val="00580BE0"/>
    <w:rsid w:val="0058153B"/>
    <w:rsid w:val="00586026"/>
    <w:rsid w:val="005866D5"/>
    <w:rsid w:val="005910F1"/>
    <w:rsid w:val="005A0D08"/>
    <w:rsid w:val="005A33D2"/>
    <w:rsid w:val="005A4817"/>
    <w:rsid w:val="005A64CC"/>
    <w:rsid w:val="005A7771"/>
    <w:rsid w:val="005A7B2E"/>
    <w:rsid w:val="005B089B"/>
    <w:rsid w:val="005B0903"/>
    <w:rsid w:val="005B17A6"/>
    <w:rsid w:val="005B3BEF"/>
    <w:rsid w:val="005B4844"/>
    <w:rsid w:val="005B7039"/>
    <w:rsid w:val="005B7E58"/>
    <w:rsid w:val="005C1FA4"/>
    <w:rsid w:val="005C2FEB"/>
    <w:rsid w:val="005C4A74"/>
    <w:rsid w:val="005C56AC"/>
    <w:rsid w:val="005C6516"/>
    <w:rsid w:val="005C7C91"/>
    <w:rsid w:val="005C7CE5"/>
    <w:rsid w:val="005D2987"/>
    <w:rsid w:val="005D2F35"/>
    <w:rsid w:val="005D55A9"/>
    <w:rsid w:val="005D575C"/>
    <w:rsid w:val="005E0D1D"/>
    <w:rsid w:val="005E2B33"/>
    <w:rsid w:val="005E477E"/>
    <w:rsid w:val="005E5B01"/>
    <w:rsid w:val="005F1B25"/>
    <w:rsid w:val="005F1DEB"/>
    <w:rsid w:val="005F302D"/>
    <w:rsid w:val="005F313A"/>
    <w:rsid w:val="0060299D"/>
    <w:rsid w:val="00603237"/>
    <w:rsid w:val="00603ED9"/>
    <w:rsid w:val="00610D53"/>
    <w:rsid w:val="0061255C"/>
    <w:rsid w:val="006129BB"/>
    <w:rsid w:val="0061332D"/>
    <w:rsid w:val="00613F6F"/>
    <w:rsid w:val="0061548B"/>
    <w:rsid w:val="006176CD"/>
    <w:rsid w:val="00617D42"/>
    <w:rsid w:val="00621546"/>
    <w:rsid w:val="00621649"/>
    <w:rsid w:val="0062386A"/>
    <w:rsid w:val="006257E4"/>
    <w:rsid w:val="006260A8"/>
    <w:rsid w:val="00626260"/>
    <w:rsid w:val="00626330"/>
    <w:rsid w:val="00631B66"/>
    <w:rsid w:val="00632548"/>
    <w:rsid w:val="006358B7"/>
    <w:rsid w:val="00640329"/>
    <w:rsid w:val="006428BB"/>
    <w:rsid w:val="00644ACF"/>
    <w:rsid w:val="00644FA4"/>
    <w:rsid w:val="00646CCC"/>
    <w:rsid w:val="006470C1"/>
    <w:rsid w:val="00650901"/>
    <w:rsid w:val="00650BC1"/>
    <w:rsid w:val="006540D5"/>
    <w:rsid w:val="00655727"/>
    <w:rsid w:val="0065779F"/>
    <w:rsid w:val="00660D7F"/>
    <w:rsid w:val="00661163"/>
    <w:rsid w:val="006661CC"/>
    <w:rsid w:val="00670A48"/>
    <w:rsid w:val="0067727F"/>
    <w:rsid w:val="00680D87"/>
    <w:rsid w:val="00680F73"/>
    <w:rsid w:val="0068254D"/>
    <w:rsid w:val="006843B2"/>
    <w:rsid w:val="00687198"/>
    <w:rsid w:val="0069162E"/>
    <w:rsid w:val="00694456"/>
    <w:rsid w:val="00695F59"/>
    <w:rsid w:val="006972A7"/>
    <w:rsid w:val="006A091C"/>
    <w:rsid w:val="006A65C6"/>
    <w:rsid w:val="006B23B6"/>
    <w:rsid w:val="006B7865"/>
    <w:rsid w:val="006C2599"/>
    <w:rsid w:val="006C39C9"/>
    <w:rsid w:val="006C407B"/>
    <w:rsid w:val="006C6DF6"/>
    <w:rsid w:val="006D0308"/>
    <w:rsid w:val="006D4397"/>
    <w:rsid w:val="006D4FC3"/>
    <w:rsid w:val="006D5231"/>
    <w:rsid w:val="006D5BC2"/>
    <w:rsid w:val="006E0BFE"/>
    <w:rsid w:val="006E2DA8"/>
    <w:rsid w:val="006E35D3"/>
    <w:rsid w:val="006E5F10"/>
    <w:rsid w:val="006E6038"/>
    <w:rsid w:val="006F1884"/>
    <w:rsid w:val="006F1FAC"/>
    <w:rsid w:val="006F3B46"/>
    <w:rsid w:val="006F501B"/>
    <w:rsid w:val="006F7CC6"/>
    <w:rsid w:val="0070135C"/>
    <w:rsid w:val="0070162B"/>
    <w:rsid w:val="00702EDB"/>
    <w:rsid w:val="00702F13"/>
    <w:rsid w:val="00703160"/>
    <w:rsid w:val="00703879"/>
    <w:rsid w:val="00703CB4"/>
    <w:rsid w:val="00703E54"/>
    <w:rsid w:val="00707B81"/>
    <w:rsid w:val="00712C60"/>
    <w:rsid w:val="0071423A"/>
    <w:rsid w:val="007156C1"/>
    <w:rsid w:val="00715E7D"/>
    <w:rsid w:val="00715F54"/>
    <w:rsid w:val="00716EE2"/>
    <w:rsid w:val="007175F4"/>
    <w:rsid w:val="00717A67"/>
    <w:rsid w:val="00724D63"/>
    <w:rsid w:val="00725337"/>
    <w:rsid w:val="00733855"/>
    <w:rsid w:val="00735F30"/>
    <w:rsid w:val="00736D65"/>
    <w:rsid w:val="007410CC"/>
    <w:rsid w:val="00741333"/>
    <w:rsid w:val="00742662"/>
    <w:rsid w:val="0074309E"/>
    <w:rsid w:val="00746FE4"/>
    <w:rsid w:val="00750983"/>
    <w:rsid w:val="00750F0D"/>
    <w:rsid w:val="00751429"/>
    <w:rsid w:val="00751A02"/>
    <w:rsid w:val="00751C80"/>
    <w:rsid w:val="00756021"/>
    <w:rsid w:val="00764BA9"/>
    <w:rsid w:val="007659EC"/>
    <w:rsid w:val="00767CDF"/>
    <w:rsid w:val="00771A69"/>
    <w:rsid w:val="00771DA1"/>
    <w:rsid w:val="0077329A"/>
    <w:rsid w:val="00774382"/>
    <w:rsid w:val="00777D01"/>
    <w:rsid w:val="0078029F"/>
    <w:rsid w:val="00780D94"/>
    <w:rsid w:val="00783E6A"/>
    <w:rsid w:val="00784D5C"/>
    <w:rsid w:val="00785E38"/>
    <w:rsid w:val="00790CE2"/>
    <w:rsid w:val="00791F59"/>
    <w:rsid w:val="007938A5"/>
    <w:rsid w:val="00794C7A"/>
    <w:rsid w:val="00795770"/>
    <w:rsid w:val="00795A48"/>
    <w:rsid w:val="007A07D9"/>
    <w:rsid w:val="007A165D"/>
    <w:rsid w:val="007A1A42"/>
    <w:rsid w:val="007A1FE9"/>
    <w:rsid w:val="007A2B15"/>
    <w:rsid w:val="007A565A"/>
    <w:rsid w:val="007B0815"/>
    <w:rsid w:val="007B0DF3"/>
    <w:rsid w:val="007B3B5D"/>
    <w:rsid w:val="007B5443"/>
    <w:rsid w:val="007B5BB6"/>
    <w:rsid w:val="007B6B13"/>
    <w:rsid w:val="007C0FEC"/>
    <w:rsid w:val="007C3AE1"/>
    <w:rsid w:val="007C7AF8"/>
    <w:rsid w:val="007C7B48"/>
    <w:rsid w:val="007D0706"/>
    <w:rsid w:val="007D0942"/>
    <w:rsid w:val="007D4C24"/>
    <w:rsid w:val="007D6D9F"/>
    <w:rsid w:val="007E373A"/>
    <w:rsid w:val="007E4A42"/>
    <w:rsid w:val="007E54C2"/>
    <w:rsid w:val="007E596E"/>
    <w:rsid w:val="007F02E1"/>
    <w:rsid w:val="007F27ED"/>
    <w:rsid w:val="007F5429"/>
    <w:rsid w:val="007F63B0"/>
    <w:rsid w:val="007F7DBD"/>
    <w:rsid w:val="00800140"/>
    <w:rsid w:val="00800B08"/>
    <w:rsid w:val="00801334"/>
    <w:rsid w:val="008043A5"/>
    <w:rsid w:val="00804EE0"/>
    <w:rsid w:val="0080670E"/>
    <w:rsid w:val="008125E6"/>
    <w:rsid w:val="00816B7C"/>
    <w:rsid w:val="0081767D"/>
    <w:rsid w:val="00822994"/>
    <w:rsid w:val="00824547"/>
    <w:rsid w:val="00825212"/>
    <w:rsid w:val="00825B1C"/>
    <w:rsid w:val="008322E5"/>
    <w:rsid w:val="00832EC5"/>
    <w:rsid w:val="00833898"/>
    <w:rsid w:val="008347AC"/>
    <w:rsid w:val="00835AFC"/>
    <w:rsid w:val="00836700"/>
    <w:rsid w:val="00840142"/>
    <w:rsid w:val="00842ABD"/>
    <w:rsid w:val="00850A1C"/>
    <w:rsid w:val="00851F15"/>
    <w:rsid w:val="008523CA"/>
    <w:rsid w:val="00855B54"/>
    <w:rsid w:val="00861EF0"/>
    <w:rsid w:val="00871C93"/>
    <w:rsid w:val="00873423"/>
    <w:rsid w:val="0087652E"/>
    <w:rsid w:val="0087668C"/>
    <w:rsid w:val="00876EB2"/>
    <w:rsid w:val="008809B3"/>
    <w:rsid w:val="00883410"/>
    <w:rsid w:val="0088536D"/>
    <w:rsid w:val="00885976"/>
    <w:rsid w:val="008860C0"/>
    <w:rsid w:val="00891867"/>
    <w:rsid w:val="008944E0"/>
    <w:rsid w:val="00895F92"/>
    <w:rsid w:val="0089746A"/>
    <w:rsid w:val="008A1C11"/>
    <w:rsid w:val="008A2782"/>
    <w:rsid w:val="008A2B37"/>
    <w:rsid w:val="008A47FA"/>
    <w:rsid w:val="008A5DD0"/>
    <w:rsid w:val="008A71FB"/>
    <w:rsid w:val="008B0175"/>
    <w:rsid w:val="008B1F2F"/>
    <w:rsid w:val="008B27AD"/>
    <w:rsid w:val="008B28F6"/>
    <w:rsid w:val="008B4245"/>
    <w:rsid w:val="008B564E"/>
    <w:rsid w:val="008C0E80"/>
    <w:rsid w:val="008C13C3"/>
    <w:rsid w:val="008C195A"/>
    <w:rsid w:val="008C2764"/>
    <w:rsid w:val="008C5193"/>
    <w:rsid w:val="008D0974"/>
    <w:rsid w:val="008D2AE4"/>
    <w:rsid w:val="008D36E4"/>
    <w:rsid w:val="008D4051"/>
    <w:rsid w:val="008D40E8"/>
    <w:rsid w:val="008D5567"/>
    <w:rsid w:val="008E05AF"/>
    <w:rsid w:val="008E0E43"/>
    <w:rsid w:val="008E3E48"/>
    <w:rsid w:val="008E503E"/>
    <w:rsid w:val="008E54FE"/>
    <w:rsid w:val="008E70C4"/>
    <w:rsid w:val="008E7E15"/>
    <w:rsid w:val="008F0DDF"/>
    <w:rsid w:val="008F3999"/>
    <w:rsid w:val="008F3A83"/>
    <w:rsid w:val="008F5E18"/>
    <w:rsid w:val="008F7DCC"/>
    <w:rsid w:val="0090074C"/>
    <w:rsid w:val="0090275E"/>
    <w:rsid w:val="00910B33"/>
    <w:rsid w:val="00910DBD"/>
    <w:rsid w:val="009127AB"/>
    <w:rsid w:val="0091329D"/>
    <w:rsid w:val="009136BA"/>
    <w:rsid w:val="00914FB9"/>
    <w:rsid w:val="009159F3"/>
    <w:rsid w:val="0091675D"/>
    <w:rsid w:val="00916E78"/>
    <w:rsid w:val="00917572"/>
    <w:rsid w:val="00920A27"/>
    <w:rsid w:val="00922D3D"/>
    <w:rsid w:val="009231F0"/>
    <w:rsid w:val="0093359F"/>
    <w:rsid w:val="00933C54"/>
    <w:rsid w:val="00937135"/>
    <w:rsid w:val="009375ED"/>
    <w:rsid w:val="00937799"/>
    <w:rsid w:val="00941256"/>
    <w:rsid w:val="00945EC1"/>
    <w:rsid w:val="00947040"/>
    <w:rsid w:val="009511D6"/>
    <w:rsid w:val="00951668"/>
    <w:rsid w:val="00951B29"/>
    <w:rsid w:val="00955B5D"/>
    <w:rsid w:val="00961E8E"/>
    <w:rsid w:val="00962FD0"/>
    <w:rsid w:val="0096367E"/>
    <w:rsid w:val="009676A1"/>
    <w:rsid w:val="009676AF"/>
    <w:rsid w:val="00967C75"/>
    <w:rsid w:val="00967D92"/>
    <w:rsid w:val="009711D8"/>
    <w:rsid w:val="009712F6"/>
    <w:rsid w:val="009722DC"/>
    <w:rsid w:val="00975F98"/>
    <w:rsid w:val="0097685C"/>
    <w:rsid w:val="009768D8"/>
    <w:rsid w:val="00985C39"/>
    <w:rsid w:val="009904BE"/>
    <w:rsid w:val="0099138E"/>
    <w:rsid w:val="00996290"/>
    <w:rsid w:val="009A15D8"/>
    <w:rsid w:val="009A1AAC"/>
    <w:rsid w:val="009A1C27"/>
    <w:rsid w:val="009A28BE"/>
    <w:rsid w:val="009A2A0C"/>
    <w:rsid w:val="009A3AB8"/>
    <w:rsid w:val="009B0EFA"/>
    <w:rsid w:val="009B45D2"/>
    <w:rsid w:val="009B5811"/>
    <w:rsid w:val="009B6F81"/>
    <w:rsid w:val="009C4A0F"/>
    <w:rsid w:val="009D0855"/>
    <w:rsid w:val="009D34D2"/>
    <w:rsid w:val="009D360E"/>
    <w:rsid w:val="009D4A6C"/>
    <w:rsid w:val="009D4E5D"/>
    <w:rsid w:val="009E1E15"/>
    <w:rsid w:val="009E21E8"/>
    <w:rsid w:val="009E2AB5"/>
    <w:rsid w:val="009E4DCA"/>
    <w:rsid w:val="009F367C"/>
    <w:rsid w:val="009F4756"/>
    <w:rsid w:val="00A00965"/>
    <w:rsid w:val="00A0375D"/>
    <w:rsid w:val="00A16A24"/>
    <w:rsid w:val="00A17189"/>
    <w:rsid w:val="00A1792C"/>
    <w:rsid w:val="00A21041"/>
    <w:rsid w:val="00A21D30"/>
    <w:rsid w:val="00A2419C"/>
    <w:rsid w:val="00A27090"/>
    <w:rsid w:val="00A30467"/>
    <w:rsid w:val="00A3494C"/>
    <w:rsid w:val="00A36C94"/>
    <w:rsid w:val="00A36CA8"/>
    <w:rsid w:val="00A36EC1"/>
    <w:rsid w:val="00A40F6E"/>
    <w:rsid w:val="00A41192"/>
    <w:rsid w:val="00A50FE7"/>
    <w:rsid w:val="00A54A4D"/>
    <w:rsid w:val="00A55356"/>
    <w:rsid w:val="00A560D4"/>
    <w:rsid w:val="00A56E81"/>
    <w:rsid w:val="00A60B5A"/>
    <w:rsid w:val="00A65414"/>
    <w:rsid w:val="00A70B42"/>
    <w:rsid w:val="00A73A63"/>
    <w:rsid w:val="00A758F4"/>
    <w:rsid w:val="00A76863"/>
    <w:rsid w:val="00A807ED"/>
    <w:rsid w:val="00A8413D"/>
    <w:rsid w:val="00A84AF0"/>
    <w:rsid w:val="00A85E88"/>
    <w:rsid w:val="00A8709F"/>
    <w:rsid w:val="00A906F4"/>
    <w:rsid w:val="00A939BE"/>
    <w:rsid w:val="00A93B57"/>
    <w:rsid w:val="00A93D1E"/>
    <w:rsid w:val="00A94012"/>
    <w:rsid w:val="00A94D9D"/>
    <w:rsid w:val="00A9592B"/>
    <w:rsid w:val="00A963EA"/>
    <w:rsid w:val="00AA05F4"/>
    <w:rsid w:val="00AA5036"/>
    <w:rsid w:val="00AA5327"/>
    <w:rsid w:val="00AA6838"/>
    <w:rsid w:val="00AB2704"/>
    <w:rsid w:val="00AB27C5"/>
    <w:rsid w:val="00AB3052"/>
    <w:rsid w:val="00AB63D8"/>
    <w:rsid w:val="00AC07F3"/>
    <w:rsid w:val="00AC1577"/>
    <w:rsid w:val="00AC42A7"/>
    <w:rsid w:val="00AC5116"/>
    <w:rsid w:val="00AD3322"/>
    <w:rsid w:val="00AD33C4"/>
    <w:rsid w:val="00AD67B7"/>
    <w:rsid w:val="00AD6D21"/>
    <w:rsid w:val="00AD7EC5"/>
    <w:rsid w:val="00AE2565"/>
    <w:rsid w:val="00AE284B"/>
    <w:rsid w:val="00AE3E9D"/>
    <w:rsid w:val="00AE75C2"/>
    <w:rsid w:val="00AF41A0"/>
    <w:rsid w:val="00B02500"/>
    <w:rsid w:val="00B053C5"/>
    <w:rsid w:val="00B06776"/>
    <w:rsid w:val="00B14735"/>
    <w:rsid w:val="00B210F0"/>
    <w:rsid w:val="00B216DB"/>
    <w:rsid w:val="00B2595A"/>
    <w:rsid w:val="00B26E45"/>
    <w:rsid w:val="00B3020C"/>
    <w:rsid w:val="00B325BE"/>
    <w:rsid w:val="00B4154C"/>
    <w:rsid w:val="00B42287"/>
    <w:rsid w:val="00B45FD9"/>
    <w:rsid w:val="00B46D78"/>
    <w:rsid w:val="00B46E09"/>
    <w:rsid w:val="00B46EA9"/>
    <w:rsid w:val="00B52D48"/>
    <w:rsid w:val="00B531F8"/>
    <w:rsid w:val="00B62DA1"/>
    <w:rsid w:val="00B639F5"/>
    <w:rsid w:val="00B63E2B"/>
    <w:rsid w:val="00B65C6D"/>
    <w:rsid w:val="00B668FA"/>
    <w:rsid w:val="00B70877"/>
    <w:rsid w:val="00B758DA"/>
    <w:rsid w:val="00B8263D"/>
    <w:rsid w:val="00B83465"/>
    <w:rsid w:val="00B8486A"/>
    <w:rsid w:val="00B91557"/>
    <w:rsid w:val="00B9459F"/>
    <w:rsid w:val="00B960A8"/>
    <w:rsid w:val="00BA68D4"/>
    <w:rsid w:val="00BA7683"/>
    <w:rsid w:val="00BB0EC4"/>
    <w:rsid w:val="00BB15F6"/>
    <w:rsid w:val="00BB27F2"/>
    <w:rsid w:val="00BB2854"/>
    <w:rsid w:val="00BB3A5F"/>
    <w:rsid w:val="00BB52EE"/>
    <w:rsid w:val="00BB535C"/>
    <w:rsid w:val="00BB6490"/>
    <w:rsid w:val="00BB767E"/>
    <w:rsid w:val="00BC0048"/>
    <w:rsid w:val="00BC085A"/>
    <w:rsid w:val="00BC1CF1"/>
    <w:rsid w:val="00BC34A1"/>
    <w:rsid w:val="00BC52DE"/>
    <w:rsid w:val="00BC577C"/>
    <w:rsid w:val="00BC746A"/>
    <w:rsid w:val="00BD1968"/>
    <w:rsid w:val="00BD2C2E"/>
    <w:rsid w:val="00BD7296"/>
    <w:rsid w:val="00BD72DA"/>
    <w:rsid w:val="00BE0BFB"/>
    <w:rsid w:val="00BE11A8"/>
    <w:rsid w:val="00BE19A0"/>
    <w:rsid w:val="00BE4A8B"/>
    <w:rsid w:val="00BE6C39"/>
    <w:rsid w:val="00BF0789"/>
    <w:rsid w:val="00BF0E4F"/>
    <w:rsid w:val="00BF292C"/>
    <w:rsid w:val="00BF29A8"/>
    <w:rsid w:val="00BF43F9"/>
    <w:rsid w:val="00BF4678"/>
    <w:rsid w:val="00BF6527"/>
    <w:rsid w:val="00BF75CD"/>
    <w:rsid w:val="00BF7DEA"/>
    <w:rsid w:val="00C03568"/>
    <w:rsid w:val="00C06328"/>
    <w:rsid w:val="00C102FA"/>
    <w:rsid w:val="00C10F71"/>
    <w:rsid w:val="00C13671"/>
    <w:rsid w:val="00C1652E"/>
    <w:rsid w:val="00C208C3"/>
    <w:rsid w:val="00C22B26"/>
    <w:rsid w:val="00C24E25"/>
    <w:rsid w:val="00C25567"/>
    <w:rsid w:val="00C268A3"/>
    <w:rsid w:val="00C26F5D"/>
    <w:rsid w:val="00C31B08"/>
    <w:rsid w:val="00C32051"/>
    <w:rsid w:val="00C32501"/>
    <w:rsid w:val="00C35081"/>
    <w:rsid w:val="00C3637F"/>
    <w:rsid w:val="00C42C6D"/>
    <w:rsid w:val="00C43A0E"/>
    <w:rsid w:val="00C52FDB"/>
    <w:rsid w:val="00C544EA"/>
    <w:rsid w:val="00C5578E"/>
    <w:rsid w:val="00C61DFE"/>
    <w:rsid w:val="00C63438"/>
    <w:rsid w:val="00C64D15"/>
    <w:rsid w:val="00C655EE"/>
    <w:rsid w:val="00C65C53"/>
    <w:rsid w:val="00C6665B"/>
    <w:rsid w:val="00C74B49"/>
    <w:rsid w:val="00C75199"/>
    <w:rsid w:val="00C85672"/>
    <w:rsid w:val="00C87A5D"/>
    <w:rsid w:val="00C87F30"/>
    <w:rsid w:val="00C91DF0"/>
    <w:rsid w:val="00CA5968"/>
    <w:rsid w:val="00CB16E2"/>
    <w:rsid w:val="00CB27F0"/>
    <w:rsid w:val="00CB2F9C"/>
    <w:rsid w:val="00CB3076"/>
    <w:rsid w:val="00CB3402"/>
    <w:rsid w:val="00CB404B"/>
    <w:rsid w:val="00CB4B0E"/>
    <w:rsid w:val="00CB4C22"/>
    <w:rsid w:val="00CB5E7C"/>
    <w:rsid w:val="00CB7ABC"/>
    <w:rsid w:val="00CC0E9B"/>
    <w:rsid w:val="00CC102E"/>
    <w:rsid w:val="00CC18D1"/>
    <w:rsid w:val="00CC6FA2"/>
    <w:rsid w:val="00CD0609"/>
    <w:rsid w:val="00CD0994"/>
    <w:rsid w:val="00CD1E74"/>
    <w:rsid w:val="00CE220F"/>
    <w:rsid w:val="00CE4BA5"/>
    <w:rsid w:val="00CF1C72"/>
    <w:rsid w:val="00CF1EBB"/>
    <w:rsid w:val="00CF1F5C"/>
    <w:rsid w:val="00CF2C69"/>
    <w:rsid w:val="00CF3114"/>
    <w:rsid w:val="00CF4C50"/>
    <w:rsid w:val="00CF5508"/>
    <w:rsid w:val="00CF7D4C"/>
    <w:rsid w:val="00D01559"/>
    <w:rsid w:val="00D04603"/>
    <w:rsid w:val="00D055FA"/>
    <w:rsid w:val="00D057A0"/>
    <w:rsid w:val="00D06C0C"/>
    <w:rsid w:val="00D11C22"/>
    <w:rsid w:val="00D1288E"/>
    <w:rsid w:val="00D20A42"/>
    <w:rsid w:val="00D221A1"/>
    <w:rsid w:val="00D234B2"/>
    <w:rsid w:val="00D24BF7"/>
    <w:rsid w:val="00D251BF"/>
    <w:rsid w:val="00D25C32"/>
    <w:rsid w:val="00D276D1"/>
    <w:rsid w:val="00D36109"/>
    <w:rsid w:val="00D43576"/>
    <w:rsid w:val="00D43FA6"/>
    <w:rsid w:val="00D44540"/>
    <w:rsid w:val="00D44B85"/>
    <w:rsid w:val="00D454DD"/>
    <w:rsid w:val="00D47F5E"/>
    <w:rsid w:val="00D54727"/>
    <w:rsid w:val="00D60AA9"/>
    <w:rsid w:val="00D653A9"/>
    <w:rsid w:val="00D65ABC"/>
    <w:rsid w:val="00D66C90"/>
    <w:rsid w:val="00D73999"/>
    <w:rsid w:val="00D755F8"/>
    <w:rsid w:val="00D76797"/>
    <w:rsid w:val="00D7785B"/>
    <w:rsid w:val="00D804EF"/>
    <w:rsid w:val="00D90D78"/>
    <w:rsid w:val="00D92A4F"/>
    <w:rsid w:val="00D94504"/>
    <w:rsid w:val="00D955C0"/>
    <w:rsid w:val="00D95E5A"/>
    <w:rsid w:val="00D96199"/>
    <w:rsid w:val="00D96FA9"/>
    <w:rsid w:val="00DA3694"/>
    <w:rsid w:val="00DA4D05"/>
    <w:rsid w:val="00DA7698"/>
    <w:rsid w:val="00DB01C1"/>
    <w:rsid w:val="00DB023C"/>
    <w:rsid w:val="00DB0C0B"/>
    <w:rsid w:val="00DB488A"/>
    <w:rsid w:val="00DB545B"/>
    <w:rsid w:val="00DB557B"/>
    <w:rsid w:val="00DB71A3"/>
    <w:rsid w:val="00DC0B55"/>
    <w:rsid w:val="00DC1611"/>
    <w:rsid w:val="00DC4207"/>
    <w:rsid w:val="00DD2ABB"/>
    <w:rsid w:val="00DD3265"/>
    <w:rsid w:val="00DD3E52"/>
    <w:rsid w:val="00DD4E0E"/>
    <w:rsid w:val="00DD51A8"/>
    <w:rsid w:val="00DD5BF2"/>
    <w:rsid w:val="00DD6A6A"/>
    <w:rsid w:val="00DD6B61"/>
    <w:rsid w:val="00DE1497"/>
    <w:rsid w:val="00DE1F15"/>
    <w:rsid w:val="00DE43F1"/>
    <w:rsid w:val="00DE5B42"/>
    <w:rsid w:val="00DF2813"/>
    <w:rsid w:val="00DF3031"/>
    <w:rsid w:val="00DF3570"/>
    <w:rsid w:val="00DF4520"/>
    <w:rsid w:val="00DF4888"/>
    <w:rsid w:val="00E0006A"/>
    <w:rsid w:val="00E03137"/>
    <w:rsid w:val="00E03C68"/>
    <w:rsid w:val="00E045D1"/>
    <w:rsid w:val="00E10FE8"/>
    <w:rsid w:val="00E11D77"/>
    <w:rsid w:val="00E13409"/>
    <w:rsid w:val="00E13E73"/>
    <w:rsid w:val="00E15601"/>
    <w:rsid w:val="00E15F2B"/>
    <w:rsid w:val="00E16E57"/>
    <w:rsid w:val="00E2276A"/>
    <w:rsid w:val="00E229D8"/>
    <w:rsid w:val="00E27A02"/>
    <w:rsid w:val="00E27AC5"/>
    <w:rsid w:val="00E30E0C"/>
    <w:rsid w:val="00E346AB"/>
    <w:rsid w:val="00E347FC"/>
    <w:rsid w:val="00E41072"/>
    <w:rsid w:val="00E42B53"/>
    <w:rsid w:val="00E43375"/>
    <w:rsid w:val="00E43FB7"/>
    <w:rsid w:val="00E46D32"/>
    <w:rsid w:val="00E536BF"/>
    <w:rsid w:val="00E54D68"/>
    <w:rsid w:val="00E56BD2"/>
    <w:rsid w:val="00E60F34"/>
    <w:rsid w:val="00E620C9"/>
    <w:rsid w:val="00E64D11"/>
    <w:rsid w:val="00E679F6"/>
    <w:rsid w:val="00E728E0"/>
    <w:rsid w:val="00E73F8B"/>
    <w:rsid w:val="00E81763"/>
    <w:rsid w:val="00E85168"/>
    <w:rsid w:val="00E854C9"/>
    <w:rsid w:val="00E85FD9"/>
    <w:rsid w:val="00E86260"/>
    <w:rsid w:val="00E8627B"/>
    <w:rsid w:val="00E92A1A"/>
    <w:rsid w:val="00E95D1A"/>
    <w:rsid w:val="00EA0321"/>
    <w:rsid w:val="00EA46CA"/>
    <w:rsid w:val="00EA53F2"/>
    <w:rsid w:val="00EB0571"/>
    <w:rsid w:val="00EB1B33"/>
    <w:rsid w:val="00EC6340"/>
    <w:rsid w:val="00EC7E10"/>
    <w:rsid w:val="00ED0951"/>
    <w:rsid w:val="00ED57D9"/>
    <w:rsid w:val="00EE1119"/>
    <w:rsid w:val="00EE427A"/>
    <w:rsid w:val="00EE5ED7"/>
    <w:rsid w:val="00EF1E75"/>
    <w:rsid w:val="00EF4A9D"/>
    <w:rsid w:val="00EF652C"/>
    <w:rsid w:val="00F006E2"/>
    <w:rsid w:val="00F0314B"/>
    <w:rsid w:val="00F046C8"/>
    <w:rsid w:val="00F05F0E"/>
    <w:rsid w:val="00F06C1A"/>
    <w:rsid w:val="00F10A01"/>
    <w:rsid w:val="00F11DBE"/>
    <w:rsid w:val="00F12743"/>
    <w:rsid w:val="00F13E8E"/>
    <w:rsid w:val="00F14C98"/>
    <w:rsid w:val="00F154C1"/>
    <w:rsid w:val="00F166FA"/>
    <w:rsid w:val="00F24E49"/>
    <w:rsid w:val="00F33211"/>
    <w:rsid w:val="00F37EFA"/>
    <w:rsid w:val="00F40BF9"/>
    <w:rsid w:val="00F41DC2"/>
    <w:rsid w:val="00F45330"/>
    <w:rsid w:val="00F46355"/>
    <w:rsid w:val="00F50C65"/>
    <w:rsid w:val="00F522E4"/>
    <w:rsid w:val="00F528BD"/>
    <w:rsid w:val="00F56F64"/>
    <w:rsid w:val="00F6200E"/>
    <w:rsid w:val="00F625D5"/>
    <w:rsid w:val="00F63018"/>
    <w:rsid w:val="00F650C2"/>
    <w:rsid w:val="00F659DA"/>
    <w:rsid w:val="00F673E8"/>
    <w:rsid w:val="00F70197"/>
    <w:rsid w:val="00F74E35"/>
    <w:rsid w:val="00F74F3E"/>
    <w:rsid w:val="00F7509B"/>
    <w:rsid w:val="00F75167"/>
    <w:rsid w:val="00F7610B"/>
    <w:rsid w:val="00F77CD2"/>
    <w:rsid w:val="00F861C1"/>
    <w:rsid w:val="00F86200"/>
    <w:rsid w:val="00F86325"/>
    <w:rsid w:val="00F92752"/>
    <w:rsid w:val="00F96244"/>
    <w:rsid w:val="00F97BA4"/>
    <w:rsid w:val="00FA075B"/>
    <w:rsid w:val="00FA1189"/>
    <w:rsid w:val="00FA15B4"/>
    <w:rsid w:val="00FA2A4B"/>
    <w:rsid w:val="00FA30F4"/>
    <w:rsid w:val="00FA4A69"/>
    <w:rsid w:val="00FA4BAA"/>
    <w:rsid w:val="00FA6418"/>
    <w:rsid w:val="00FA665D"/>
    <w:rsid w:val="00FA6F6E"/>
    <w:rsid w:val="00FB03E4"/>
    <w:rsid w:val="00FB190B"/>
    <w:rsid w:val="00FB1DBE"/>
    <w:rsid w:val="00FB4291"/>
    <w:rsid w:val="00FC12EB"/>
    <w:rsid w:val="00FC4CCE"/>
    <w:rsid w:val="00FC616E"/>
    <w:rsid w:val="00FD0CB0"/>
    <w:rsid w:val="00FD55C2"/>
    <w:rsid w:val="00FE13E7"/>
    <w:rsid w:val="00FE6B6C"/>
    <w:rsid w:val="00FE746C"/>
    <w:rsid w:val="00FE78F1"/>
    <w:rsid w:val="00FE795B"/>
    <w:rsid w:val="00FF3EEC"/>
    <w:rsid w:val="00FF4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BB391"/>
  <w15:chartTrackingRefBased/>
  <w15:docId w15:val="{DAC808CC-DA28-4ECE-B06A-CC261A37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333"/>
    <w:pPr>
      <w:suppressAutoHyphens/>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rsid w:val="00C31B08"/>
    <w:pPr>
      <w:suppressAutoHyphens w:val="0"/>
      <w:spacing w:after="240"/>
      <w:outlineLvl w:val="0"/>
    </w:pPr>
    <w:rPr>
      <w:snapToGrid w:val="0"/>
    </w:rPr>
  </w:style>
  <w:style w:type="paragraph" w:styleId="Heading2">
    <w:name w:val="heading 2"/>
    <w:basedOn w:val="Normal"/>
    <w:next w:val="Normal"/>
    <w:link w:val="Heading2Char"/>
    <w:uiPriority w:val="1"/>
    <w:qFormat/>
    <w:rsid w:val="00C31B08"/>
    <w:pPr>
      <w:suppressAutoHyphens w:val="0"/>
      <w:spacing w:after="240"/>
      <w:outlineLvl w:val="1"/>
    </w:pPr>
    <w:rPr>
      <w:snapToGrid w:val="0"/>
    </w:rPr>
  </w:style>
  <w:style w:type="paragraph" w:styleId="Heading3">
    <w:name w:val="heading 3"/>
    <w:basedOn w:val="Normal"/>
    <w:next w:val="Normal"/>
    <w:link w:val="Heading3Char"/>
    <w:uiPriority w:val="1"/>
    <w:qFormat/>
    <w:rsid w:val="00C31B08"/>
    <w:pPr>
      <w:suppressAutoHyphens w:val="0"/>
      <w:spacing w:after="240"/>
      <w:outlineLvl w:val="2"/>
    </w:pPr>
    <w:rPr>
      <w:snapToGrid w:val="0"/>
    </w:rPr>
  </w:style>
  <w:style w:type="paragraph" w:styleId="Heading4">
    <w:name w:val="heading 4"/>
    <w:basedOn w:val="Normal"/>
    <w:next w:val="Normal"/>
    <w:link w:val="Heading4Char"/>
    <w:uiPriority w:val="1"/>
    <w:qFormat/>
    <w:rsid w:val="00C31B08"/>
    <w:pPr>
      <w:suppressAutoHyphens w:val="0"/>
      <w:spacing w:after="240"/>
      <w:outlineLvl w:val="3"/>
    </w:pPr>
    <w:rPr>
      <w:snapToGrid w:val="0"/>
    </w:rPr>
  </w:style>
  <w:style w:type="paragraph" w:styleId="Heading5">
    <w:name w:val="heading 5"/>
    <w:basedOn w:val="Normal"/>
    <w:next w:val="Normal"/>
    <w:link w:val="Heading5Char"/>
    <w:uiPriority w:val="1"/>
    <w:qFormat/>
    <w:rsid w:val="00C31B08"/>
    <w:pPr>
      <w:suppressAutoHyphens w:val="0"/>
      <w:spacing w:after="240"/>
      <w:outlineLvl w:val="4"/>
    </w:pPr>
    <w:rPr>
      <w:snapToGrid w:val="0"/>
    </w:rPr>
  </w:style>
  <w:style w:type="paragraph" w:styleId="Heading6">
    <w:name w:val="heading 6"/>
    <w:basedOn w:val="Normal"/>
    <w:next w:val="Normal"/>
    <w:link w:val="Heading6Char"/>
    <w:uiPriority w:val="1"/>
    <w:qFormat/>
    <w:rsid w:val="00C31B08"/>
    <w:pPr>
      <w:tabs>
        <w:tab w:val="num" w:pos="2160"/>
      </w:tabs>
      <w:suppressAutoHyphens w:val="0"/>
      <w:spacing w:after="240"/>
      <w:outlineLvl w:val="5"/>
    </w:pPr>
  </w:style>
  <w:style w:type="paragraph" w:styleId="Heading7">
    <w:name w:val="heading 7"/>
    <w:basedOn w:val="Normal"/>
    <w:next w:val="Normal"/>
    <w:link w:val="Heading7Char"/>
    <w:uiPriority w:val="1"/>
    <w:qFormat/>
    <w:rsid w:val="00C31B08"/>
    <w:pPr>
      <w:tabs>
        <w:tab w:val="num" w:pos="2520"/>
      </w:tabs>
      <w:suppressAutoHyphens w:val="0"/>
      <w:spacing w:after="240"/>
      <w:outlineLvl w:val="6"/>
    </w:pPr>
  </w:style>
  <w:style w:type="paragraph" w:styleId="Heading8">
    <w:name w:val="heading 8"/>
    <w:basedOn w:val="Normal"/>
    <w:next w:val="Normal"/>
    <w:link w:val="Heading8Char"/>
    <w:uiPriority w:val="1"/>
    <w:qFormat/>
    <w:rsid w:val="00C31B08"/>
    <w:pPr>
      <w:tabs>
        <w:tab w:val="num" w:pos="2880"/>
      </w:tabs>
      <w:suppressAutoHyphens w:val="0"/>
      <w:spacing w:after="240"/>
      <w:outlineLvl w:val="7"/>
    </w:pPr>
  </w:style>
  <w:style w:type="paragraph" w:styleId="Heading9">
    <w:name w:val="heading 9"/>
    <w:basedOn w:val="Normal"/>
    <w:next w:val="Normal"/>
    <w:link w:val="Heading9Char"/>
    <w:uiPriority w:val="1"/>
    <w:qFormat/>
    <w:rsid w:val="00C31B08"/>
    <w:pPr>
      <w:tabs>
        <w:tab w:val="num" w:pos="3240"/>
      </w:tabs>
      <w:suppressAutoHyphens w:val="0"/>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Bb">
    <w:name w:val="HBb"/>
    <w:basedOn w:val="Normal"/>
    <w:uiPriority w:val="1"/>
    <w:qFormat/>
    <w:rsid w:val="00C31B08"/>
    <w:pPr>
      <w:spacing w:after="240"/>
      <w:ind w:firstLine="720"/>
    </w:pPr>
  </w:style>
  <w:style w:type="paragraph" w:customStyle="1" w:styleId="HBbd">
    <w:name w:val="HBbd"/>
    <w:basedOn w:val="Normal"/>
    <w:uiPriority w:val="1"/>
    <w:qFormat/>
    <w:rsid w:val="00C31B08"/>
    <w:pPr>
      <w:spacing w:line="480" w:lineRule="auto"/>
      <w:ind w:firstLine="720"/>
    </w:pPr>
  </w:style>
  <w:style w:type="paragraph" w:customStyle="1" w:styleId="HBbj">
    <w:name w:val="HBbj"/>
    <w:basedOn w:val="Normal"/>
    <w:uiPriority w:val="1"/>
    <w:qFormat/>
    <w:rsid w:val="00C31B08"/>
    <w:pPr>
      <w:spacing w:after="240"/>
      <w:ind w:firstLine="720"/>
      <w:jc w:val="both"/>
    </w:pPr>
  </w:style>
  <w:style w:type="paragraph" w:customStyle="1" w:styleId="HBbjd">
    <w:name w:val="HBbjd"/>
    <w:basedOn w:val="Normal"/>
    <w:uiPriority w:val="1"/>
    <w:qFormat/>
    <w:rsid w:val="00C31B08"/>
    <w:pPr>
      <w:spacing w:line="480" w:lineRule="auto"/>
      <w:ind w:firstLine="720"/>
      <w:jc w:val="both"/>
    </w:pPr>
  </w:style>
  <w:style w:type="paragraph" w:customStyle="1" w:styleId="HBbl">
    <w:name w:val="HBbl"/>
    <w:basedOn w:val="Normal"/>
    <w:uiPriority w:val="1"/>
    <w:qFormat/>
    <w:rsid w:val="00C31B08"/>
    <w:pPr>
      <w:spacing w:after="240"/>
    </w:pPr>
  </w:style>
  <w:style w:type="paragraph" w:customStyle="1" w:styleId="HBbl1">
    <w:name w:val="HBbl1"/>
    <w:basedOn w:val="Normal"/>
    <w:uiPriority w:val="1"/>
    <w:qFormat/>
    <w:rsid w:val="00C31B08"/>
    <w:pPr>
      <w:spacing w:after="240"/>
      <w:ind w:left="720"/>
    </w:pPr>
  </w:style>
  <w:style w:type="paragraph" w:customStyle="1" w:styleId="HBbl1d">
    <w:name w:val="HBbl1d"/>
    <w:basedOn w:val="Normal"/>
    <w:uiPriority w:val="1"/>
    <w:qFormat/>
    <w:rsid w:val="00C31B08"/>
    <w:pPr>
      <w:spacing w:line="480" w:lineRule="auto"/>
      <w:ind w:left="720"/>
    </w:pPr>
  </w:style>
  <w:style w:type="paragraph" w:customStyle="1" w:styleId="HBbl1j">
    <w:name w:val="HBbl1j"/>
    <w:basedOn w:val="Normal"/>
    <w:uiPriority w:val="1"/>
    <w:qFormat/>
    <w:rsid w:val="00C31B08"/>
    <w:pPr>
      <w:spacing w:after="240"/>
      <w:ind w:left="720"/>
      <w:jc w:val="both"/>
    </w:pPr>
  </w:style>
  <w:style w:type="paragraph" w:customStyle="1" w:styleId="HBbl1jD">
    <w:name w:val="HBbl1jD"/>
    <w:basedOn w:val="Normal"/>
    <w:uiPriority w:val="1"/>
    <w:qFormat/>
    <w:rsid w:val="00C31B08"/>
    <w:pPr>
      <w:spacing w:line="480" w:lineRule="auto"/>
      <w:ind w:left="720"/>
      <w:jc w:val="both"/>
    </w:pPr>
  </w:style>
  <w:style w:type="paragraph" w:customStyle="1" w:styleId="HBbld">
    <w:name w:val="HBbld"/>
    <w:basedOn w:val="Normal"/>
    <w:uiPriority w:val="1"/>
    <w:qFormat/>
    <w:rsid w:val="00C31B08"/>
    <w:pPr>
      <w:spacing w:line="480" w:lineRule="auto"/>
    </w:pPr>
  </w:style>
  <w:style w:type="paragraph" w:customStyle="1" w:styleId="HBblj">
    <w:name w:val="HBblj"/>
    <w:basedOn w:val="Normal"/>
    <w:uiPriority w:val="1"/>
    <w:qFormat/>
    <w:rsid w:val="00C31B08"/>
    <w:pPr>
      <w:spacing w:after="240"/>
      <w:jc w:val="both"/>
    </w:pPr>
  </w:style>
  <w:style w:type="paragraph" w:customStyle="1" w:styleId="HBbljd">
    <w:name w:val="HBbljd"/>
    <w:basedOn w:val="Normal"/>
    <w:uiPriority w:val="1"/>
    <w:qFormat/>
    <w:rsid w:val="00C31B08"/>
    <w:pPr>
      <w:spacing w:line="480" w:lineRule="auto"/>
      <w:jc w:val="both"/>
    </w:pPr>
  </w:style>
  <w:style w:type="paragraph" w:customStyle="1" w:styleId="HBbul">
    <w:name w:val="HBbul"/>
    <w:basedOn w:val="Normal"/>
    <w:uiPriority w:val="1"/>
    <w:qFormat/>
    <w:rsid w:val="00C31B08"/>
    <w:pPr>
      <w:keepLines/>
      <w:numPr>
        <w:numId w:val="1"/>
      </w:numPr>
      <w:spacing w:before="120" w:after="120"/>
    </w:pPr>
    <w:rPr>
      <w:sz w:val="18"/>
    </w:rPr>
  </w:style>
  <w:style w:type="paragraph" w:customStyle="1" w:styleId="HBh">
    <w:name w:val="HBh"/>
    <w:basedOn w:val="Normal"/>
    <w:uiPriority w:val="1"/>
    <w:qFormat/>
    <w:rsid w:val="00C31B08"/>
    <w:pPr>
      <w:spacing w:after="240"/>
      <w:ind w:left="720" w:hanging="720"/>
    </w:pPr>
  </w:style>
  <w:style w:type="paragraph" w:customStyle="1" w:styleId="HBhd">
    <w:name w:val="HBhd"/>
    <w:basedOn w:val="Normal"/>
    <w:uiPriority w:val="1"/>
    <w:qFormat/>
    <w:rsid w:val="00C31B08"/>
    <w:pPr>
      <w:spacing w:line="480" w:lineRule="auto"/>
      <w:ind w:left="720" w:hanging="720"/>
    </w:pPr>
  </w:style>
  <w:style w:type="paragraph" w:customStyle="1" w:styleId="HBq">
    <w:name w:val="HBq"/>
    <w:basedOn w:val="Normal"/>
    <w:uiPriority w:val="1"/>
    <w:qFormat/>
    <w:rsid w:val="00C31B08"/>
    <w:pPr>
      <w:spacing w:after="240"/>
      <w:ind w:left="720" w:right="720"/>
    </w:pPr>
  </w:style>
  <w:style w:type="paragraph" w:customStyle="1" w:styleId="HBqj">
    <w:name w:val="HBqj"/>
    <w:basedOn w:val="Normal"/>
    <w:uiPriority w:val="1"/>
    <w:qFormat/>
    <w:rsid w:val="00C31B08"/>
    <w:pPr>
      <w:spacing w:after="240"/>
      <w:ind w:left="720" w:right="720"/>
      <w:jc w:val="both"/>
    </w:pPr>
  </w:style>
  <w:style w:type="paragraph" w:customStyle="1" w:styleId="HBsbul">
    <w:name w:val="HBsbul"/>
    <w:basedOn w:val="Normal"/>
    <w:uiPriority w:val="1"/>
    <w:qFormat/>
    <w:rsid w:val="00C31B08"/>
    <w:pPr>
      <w:numPr>
        <w:numId w:val="2"/>
      </w:numPr>
      <w:spacing w:after="120"/>
    </w:pPr>
    <w:rPr>
      <w:sz w:val="18"/>
    </w:rPr>
  </w:style>
  <w:style w:type="paragraph" w:customStyle="1" w:styleId="HBsig">
    <w:name w:val="HBsig"/>
    <w:basedOn w:val="Normal"/>
    <w:uiPriority w:val="1"/>
    <w:qFormat/>
    <w:rsid w:val="00C31B08"/>
    <w:pPr>
      <w:keepNext/>
      <w:tabs>
        <w:tab w:val="right" w:pos="9216"/>
      </w:tabs>
      <w:ind w:left="4320"/>
    </w:pPr>
  </w:style>
  <w:style w:type="paragraph" w:customStyle="1" w:styleId="HBsl">
    <w:name w:val="HBsl"/>
    <w:basedOn w:val="Normal"/>
    <w:next w:val="HBb"/>
    <w:uiPriority w:val="1"/>
    <w:qFormat/>
    <w:rsid w:val="00C31B08"/>
    <w:pPr>
      <w:keepNext/>
      <w:spacing w:after="240"/>
    </w:pPr>
    <w:rPr>
      <w:u w:val="single"/>
    </w:rPr>
  </w:style>
  <w:style w:type="paragraph" w:customStyle="1" w:styleId="HBslb">
    <w:name w:val="HBslb"/>
    <w:basedOn w:val="Normal"/>
    <w:next w:val="Normal"/>
    <w:uiPriority w:val="1"/>
    <w:qFormat/>
    <w:rsid w:val="00C31B08"/>
    <w:pPr>
      <w:keepNext/>
      <w:suppressAutoHyphens w:val="0"/>
      <w:spacing w:after="240"/>
      <w:outlineLvl w:val="1"/>
    </w:pPr>
    <w:rPr>
      <w:b/>
      <w:u w:val="single"/>
    </w:rPr>
  </w:style>
  <w:style w:type="paragraph" w:customStyle="1" w:styleId="HBsn">
    <w:name w:val="HBsn"/>
    <w:basedOn w:val="Normal"/>
    <w:uiPriority w:val="1"/>
    <w:qFormat/>
    <w:rsid w:val="00C31B08"/>
    <w:pPr>
      <w:keepNext/>
      <w:spacing w:before="960" w:after="240"/>
      <w:ind w:left="4320"/>
      <w:contextualSpacing/>
    </w:pPr>
  </w:style>
  <w:style w:type="paragraph" w:customStyle="1" w:styleId="HBtb2">
    <w:name w:val="HBtb2"/>
    <w:basedOn w:val="Normal"/>
    <w:uiPriority w:val="1"/>
    <w:qFormat/>
    <w:rsid w:val="00C31B08"/>
    <w:pPr>
      <w:keepNext/>
      <w:spacing w:after="240"/>
      <w:jc w:val="center"/>
      <w:outlineLvl w:val="0"/>
    </w:pPr>
    <w:rPr>
      <w:b/>
    </w:rPr>
  </w:style>
  <w:style w:type="paragraph" w:customStyle="1" w:styleId="HBtbu">
    <w:name w:val="HBtbu"/>
    <w:basedOn w:val="Normal"/>
    <w:uiPriority w:val="1"/>
    <w:qFormat/>
    <w:rsid w:val="00C31B08"/>
    <w:pPr>
      <w:keepNext/>
      <w:spacing w:after="240"/>
      <w:jc w:val="center"/>
      <w:outlineLvl w:val="0"/>
    </w:pPr>
    <w:rPr>
      <w:b/>
      <w:u w:val="single"/>
    </w:rPr>
  </w:style>
  <w:style w:type="paragraph" w:customStyle="1" w:styleId="HBtbu3">
    <w:name w:val="HBtbu3"/>
    <w:basedOn w:val="Normal"/>
    <w:uiPriority w:val="1"/>
    <w:qFormat/>
    <w:rsid w:val="00C31B08"/>
    <w:pPr>
      <w:keepNext/>
      <w:suppressAutoHyphens w:val="0"/>
      <w:spacing w:after="480"/>
      <w:jc w:val="center"/>
      <w:outlineLvl w:val="0"/>
    </w:pPr>
    <w:rPr>
      <w:b/>
      <w:u w:val="single"/>
    </w:rPr>
  </w:style>
  <w:style w:type="paragraph" w:customStyle="1" w:styleId="HBtu2">
    <w:name w:val="HBtu2"/>
    <w:basedOn w:val="Normal"/>
    <w:uiPriority w:val="1"/>
    <w:qFormat/>
    <w:rsid w:val="00C31B08"/>
    <w:pPr>
      <w:keepNext/>
      <w:spacing w:after="240"/>
      <w:jc w:val="center"/>
      <w:outlineLvl w:val="0"/>
    </w:pPr>
    <w:rPr>
      <w:u w:val="single"/>
    </w:rPr>
  </w:style>
  <w:style w:type="character" w:customStyle="1" w:styleId="Heading1Char">
    <w:name w:val="Heading 1 Char"/>
    <w:link w:val="Heading1"/>
    <w:uiPriority w:val="1"/>
    <w:rsid w:val="00C31B08"/>
    <w:rPr>
      <w:rFonts w:ascii="Times New Roman" w:eastAsia="Times New Roman" w:hAnsi="Times New Roman" w:cs="Times New Roman"/>
      <w:snapToGrid w:val="0"/>
      <w:sz w:val="24"/>
      <w:szCs w:val="24"/>
    </w:rPr>
  </w:style>
  <w:style w:type="character" w:customStyle="1" w:styleId="Heading2Char">
    <w:name w:val="Heading 2 Char"/>
    <w:link w:val="Heading2"/>
    <w:uiPriority w:val="1"/>
    <w:rsid w:val="00C31B08"/>
    <w:rPr>
      <w:rFonts w:ascii="Times New Roman" w:eastAsia="Times New Roman" w:hAnsi="Times New Roman" w:cs="Times New Roman"/>
      <w:snapToGrid w:val="0"/>
      <w:sz w:val="24"/>
      <w:szCs w:val="24"/>
    </w:rPr>
  </w:style>
  <w:style w:type="character" w:customStyle="1" w:styleId="Heading3Char">
    <w:name w:val="Heading 3 Char"/>
    <w:link w:val="Heading3"/>
    <w:uiPriority w:val="1"/>
    <w:rsid w:val="00C31B08"/>
    <w:rPr>
      <w:rFonts w:ascii="Times New Roman" w:eastAsia="Times New Roman" w:hAnsi="Times New Roman" w:cs="Times New Roman"/>
      <w:snapToGrid w:val="0"/>
      <w:sz w:val="24"/>
      <w:szCs w:val="24"/>
    </w:rPr>
  </w:style>
  <w:style w:type="character" w:customStyle="1" w:styleId="Heading4Char">
    <w:name w:val="Heading 4 Char"/>
    <w:link w:val="Heading4"/>
    <w:uiPriority w:val="1"/>
    <w:rsid w:val="00C31B08"/>
    <w:rPr>
      <w:rFonts w:ascii="Times New Roman" w:eastAsia="Times New Roman" w:hAnsi="Times New Roman" w:cs="Times New Roman"/>
      <w:snapToGrid w:val="0"/>
      <w:sz w:val="24"/>
      <w:szCs w:val="24"/>
    </w:rPr>
  </w:style>
  <w:style w:type="character" w:customStyle="1" w:styleId="Heading5Char">
    <w:name w:val="Heading 5 Char"/>
    <w:link w:val="Heading5"/>
    <w:uiPriority w:val="1"/>
    <w:rsid w:val="00C31B08"/>
    <w:rPr>
      <w:rFonts w:ascii="Times New Roman" w:eastAsia="Times New Roman" w:hAnsi="Times New Roman" w:cs="Times New Roman"/>
      <w:snapToGrid w:val="0"/>
      <w:sz w:val="24"/>
      <w:szCs w:val="24"/>
    </w:rPr>
  </w:style>
  <w:style w:type="character" w:customStyle="1" w:styleId="Heading6Char">
    <w:name w:val="Heading 6 Char"/>
    <w:link w:val="Heading6"/>
    <w:uiPriority w:val="1"/>
    <w:rsid w:val="00C31B08"/>
    <w:rPr>
      <w:rFonts w:ascii="Times New Roman" w:eastAsia="Times New Roman" w:hAnsi="Times New Roman" w:cs="Times New Roman"/>
      <w:sz w:val="24"/>
      <w:szCs w:val="24"/>
    </w:rPr>
  </w:style>
  <w:style w:type="character" w:customStyle="1" w:styleId="Heading7Char">
    <w:name w:val="Heading 7 Char"/>
    <w:link w:val="Heading7"/>
    <w:uiPriority w:val="1"/>
    <w:rsid w:val="00C31B08"/>
    <w:rPr>
      <w:rFonts w:ascii="Times New Roman" w:eastAsia="Times New Roman" w:hAnsi="Times New Roman" w:cs="Times New Roman"/>
      <w:sz w:val="24"/>
      <w:szCs w:val="24"/>
    </w:rPr>
  </w:style>
  <w:style w:type="character" w:customStyle="1" w:styleId="Heading8Char">
    <w:name w:val="Heading 8 Char"/>
    <w:link w:val="Heading8"/>
    <w:uiPriority w:val="1"/>
    <w:rsid w:val="00C31B08"/>
    <w:rPr>
      <w:rFonts w:ascii="Times New Roman" w:eastAsia="Times New Roman" w:hAnsi="Times New Roman" w:cs="Times New Roman"/>
      <w:sz w:val="24"/>
      <w:szCs w:val="24"/>
    </w:rPr>
  </w:style>
  <w:style w:type="character" w:customStyle="1" w:styleId="Heading9Char">
    <w:name w:val="Heading 9 Char"/>
    <w:link w:val="Heading9"/>
    <w:uiPriority w:val="1"/>
    <w:rsid w:val="00C31B08"/>
    <w:rPr>
      <w:rFonts w:ascii="Times New Roman" w:eastAsia="Times New Roman" w:hAnsi="Times New Roman" w:cs="Times New Roman"/>
      <w:sz w:val="24"/>
      <w:szCs w:val="24"/>
    </w:rPr>
  </w:style>
  <w:style w:type="paragraph" w:customStyle="1" w:styleId="MarysStyle">
    <w:name w:val="Mary's Style"/>
    <w:basedOn w:val="Normal"/>
    <w:uiPriority w:val="19"/>
    <w:semiHidden/>
    <w:rsid w:val="00C31B08"/>
    <w:rPr>
      <w:rFonts w:ascii="Chiller" w:hAnsi="Chiller"/>
      <w:color w:val="5F497A"/>
      <w:sz w:val="32"/>
    </w:rPr>
  </w:style>
  <w:style w:type="paragraph" w:styleId="Title">
    <w:name w:val="Title"/>
    <w:basedOn w:val="Normal"/>
    <w:link w:val="TitleChar"/>
    <w:uiPriority w:val="1"/>
    <w:qFormat/>
    <w:rsid w:val="00C31B08"/>
    <w:pPr>
      <w:spacing w:before="240" w:after="60"/>
      <w:jc w:val="center"/>
      <w:outlineLvl w:val="0"/>
    </w:pPr>
    <w:rPr>
      <w:rFonts w:cs="Arial"/>
      <w:b/>
      <w:bCs/>
      <w:kern w:val="28"/>
      <w:sz w:val="36"/>
      <w:szCs w:val="32"/>
    </w:rPr>
  </w:style>
  <w:style w:type="character" w:customStyle="1" w:styleId="TitleChar">
    <w:name w:val="Title Char"/>
    <w:link w:val="Title"/>
    <w:uiPriority w:val="1"/>
    <w:rsid w:val="00C31B08"/>
    <w:rPr>
      <w:rFonts w:ascii="Times New Roman" w:eastAsia="Times New Roman" w:hAnsi="Times New Roman" w:cs="Arial"/>
      <w:b/>
      <w:bCs/>
      <w:kern w:val="28"/>
      <w:sz w:val="36"/>
      <w:szCs w:val="32"/>
    </w:rPr>
  </w:style>
  <w:style w:type="paragraph" w:styleId="ListParagraph">
    <w:name w:val="List Paragraph"/>
    <w:aliases w:val="Numbering 2,Bullet List,FooterText,List Paragraph1,numbered,Paragraphe de liste1,Bulletr List Paragraph,列出段落,列出段落1,Listeafsnit1,Parágrafo da Lista1,List Paragraph2,List Paragraph21,Párrafo de lista1,リスト段落1,Bullet points,Recommendation"/>
    <w:basedOn w:val="Normal"/>
    <w:link w:val="ListParagraphChar"/>
    <w:uiPriority w:val="34"/>
    <w:qFormat/>
    <w:rsid w:val="0017299E"/>
    <w:pPr>
      <w:suppressAutoHyphens w:val="0"/>
      <w:spacing w:after="160" w:line="259"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17299E"/>
    <w:rPr>
      <w:sz w:val="16"/>
      <w:szCs w:val="16"/>
    </w:rPr>
  </w:style>
  <w:style w:type="paragraph" w:styleId="CommentText">
    <w:name w:val="annotation text"/>
    <w:basedOn w:val="Normal"/>
    <w:link w:val="CommentTextChar"/>
    <w:uiPriority w:val="99"/>
    <w:unhideWhenUsed/>
    <w:rsid w:val="0017299E"/>
    <w:pPr>
      <w:suppressAutoHyphens w:val="0"/>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7299E"/>
    <w:rPr>
      <w:rFonts w:eastAsiaTheme="minorHAnsi"/>
      <w:sz w:val="20"/>
      <w:szCs w:val="20"/>
    </w:rPr>
  </w:style>
  <w:style w:type="character" w:styleId="Hyperlink">
    <w:name w:val="Hyperlink"/>
    <w:basedOn w:val="DefaultParagraphFont"/>
    <w:uiPriority w:val="99"/>
    <w:unhideWhenUsed/>
    <w:rsid w:val="0017299E"/>
    <w:rPr>
      <w:color w:val="0563C1" w:themeColor="hyperlink"/>
      <w:u w:val="single"/>
    </w:rPr>
  </w:style>
  <w:style w:type="paragraph" w:styleId="FootnoteText">
    <w:name w:val="footnote text"/>
    <w:basedOn w:val="Normal"/>
    <w:link w:val="FootnoteTextChar"/>
    <w:uiPriority w:val="99"/>
    <w:unhideWhenUsed/>
    <w:rsid w:val="0017299E"/>
    <w:pPr>
      <w:suppressAutoHyphens w:val="0"/>
    </w:pPr>
    <w:rPr>
      <w:sz w:val="20"/>
      <w:szCs w:val="20"/>
    </w:rPr>
  </w:style>
  <w:style w:type="character" w:customStyle="1" w:styleId="FootnoteTextChar">
    <w:name w:val="Footnote Text Char"/>
    <w:basedOn w:val="DefaultParagraphFont"/>
    <w:link w:val="FootnoteText"/>
    <w:uiPriority w:val="99"/>
    <w:rsid w:val="0017299E"/>
    <w:rPr>
      <w:rFonts w:ascii="Times New Roman" w:hAnsi="Times New Roman" w:cs="Times New Roman"/>
      <w:sz w:val="20"/>
      <w:szCs w:val="20"/>
    </w:rPr>
  </w:style>
  <w:style w:type="character" w:styleId="FootnoteReference">
    <w:name w:val="footnote reference"/>
    <w:uiPriority w:val="99"/>
    <w:unhideWhenUsed/>
    <w:rsid w:val="0017299E"/>
    <w:rPr>
      <w:vertAlign w:val="superscript"/>
    </w:rPr>
  </w:style>
  <w:style w:type="paragraph" w:styleId="CommentSubject">
    <w:name w:val="annotation subject"/>
    <w:basedOn w:val="CommentText"/>
    <w:next w:val="CommentText"/>
    <w:link w:val="CommentSubjectChar"/>
    <w:uiPriority w:val="99"/>
    <w:semiHidden/>
    <w:unhideWhenUsed/>
    <w:rsid w:val="001D17DA"/>
    <w:pPr>
      <w:suppressAutoHyphens/>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D17DA"/>
    <w:rPr>
      <w:rFonts w:ascii="Times New Roman" w:eastAsiaTheme="minorHAnsi" w:hAnsi="Times New Roman" w:cs="Times New Roman"/>
      <w:b/>
      <w:bCs/>
      <w:sz w:val="20"/>
      <w:szCs w:val="20"/>
    </w:rPr>
  </w:style>
  <w:style w:type="paragraph" w:styleId="Revision">
    <w:name w:val="Revision"/>
    <w:hidden/>
    <w:uiPriority w:val="99"/>
    <w:semiHidden/>
    <w:rsid w:val="00262AC2"/>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B14735"/>
    <w:pPr>
      <w:tabs>
        <w:tab w:val="center" w:pos="4680"/>
        <w:tab w:val="right" w:pos="9360"/>
      </w:tabs>
    </w:pPr>
  </w:style>
  <w:style w:type="character" w:customStyle="1" w:styleId="HeaderChar">
    <w:name w:val="Header Char"/>
    <w:basedOn w:val="DefaultParagraphFont"/>
    <w:link w:val="Header"/>
    <w:uiPriority w:val="99"/>
    <w:rsid w:val="00B14735"/>
    <w:rPr>
      <w:rFonts w:ascii="Times New Roman" w:hAnsi="Times New Roman" w:cs="Times New Roman"/>
      <w:sz w:val="24"/>
      <w:szCs w:val="24"/>
    </w:rPr>
  </w:style>
  <w:style w:type="paragraph" w:styleId="Footer">
    <w:name w:val="footer"/>
    <w:basedOn w:val="Normal"/>
    <w:link w:val="FooterChar"/>
    <w:uiPriority w:val="99"/>
    <w:unhideWhenUsed/>
    <w:rsid w:val="00B14735"/>
    <w:pPr>
      <w:tabs>
        <w:tab w:val="center" w:pos="4680"/>
        <w:tab w:val="right" w:pos="9360"/>
      </w:tabs>
    </w:pPr>
  </w:style>
  <w:style w:type="character" w:customStyle="1" w:styleId="FooterChar">
    <w:name w:val="Footer Char"/>
    <w:basedOn w:val="DefaultParagraphFont"/>
    <w:link w:val="Footer"/>
    <w:uiPriority w:val="99"/>
    <w:rsid w:val="00B14735"/>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2E611C"/>
    <w:rPr>
      <w:color w:val="954F72" w:themeColor="followedHyperlink"/>
      <w:u w:val="single"/>
    </w:rPr>
  </w:style>
  <w:style w:type="character" w:customStyle="1" w:styleId="ListParagraphChar">
    <w:name w:val="List Paragraph Char"/>
    <w:aliases w:val="Numbering 2 Char,Bullet List Char,FooterText Char,List Paragraph1 Char,numbered Char,Paragraphe de liste1 Char,Bulletr List Paragraph Char,列出段落 Char,列出段落1 Char,Listeafsnit1 Char,Parágrafo da Lista1 Char,List Paragraph2 Char"/>
    <w:basedOn w:val="DefaultParagraphFont"/>
    <w:link w:val="ListParagraph"/>
    <w:uiPriority w:val="34"/>
    <w:locked/>
    <w:rsid w:val="00736D65"/>
    <w:rPr>
      <w:rFonts w:eastAsiaTheme="minorHAnsi"/>
    </w:rPr>
  </w:style>
  <w:style w:type="paragraph" w:customStyle="1" w:styleId="Default">
    <w:name w:val="Default"/>
    <w:rsid w:val="00736D65"/>
    <w:pPr>
      <w:autoSpaceDE w:val="0"/>
      <w:autoSpaceDN w:val="0"/>
      <w:adjustRightInd w:val="0"/>
      <w:spacing w:after="0" w:line="240" w:lineRule="auto"/>
    </w:pPr>
    <w:rPr>
      <w:rFonts w:ascii="Arial" w:eastAsiaTheme="minorHAnsi" w:hAnsi="Arial" w:cs="Arial"/>
      <w:color w:val="000000"/>
      <w:sz w:val="24"/>
      <w:szCs w:val="24"/>
    </w:rPr>
  </w:style>
  <w:style w:type="character" w:styleId="UnresolvedMention">
    <w:name w:val="Unresolved Mention"/>
    <w:basedOn w:val="DefaultParagraphFont"/>
    <w:uiPriority w:val="99"/>
    <w:semiHidden/>
    <w:unhideWhenUsed/>
    <w:rsid w:val="005D2F35"/>
    <w:rPr>
      <w:color w:val="605E5C"/>
      <w:shd w:val="clear" w:color="auto" w:fill="E1DFDD"/>
    </w:rPr>
  </w:style>
  <w:style w:type="paragraph" w:styleId="NormalWeb">
    <w:name w:val="Normal (Web)"/>
    <w:basedOn w:val="Normal"/>
    <w:uiPriority w:val="99"/>
    <w:unhideWhenUsed/>
    <w:rsid w:val="00DB0C0B"/>
    <w:pPr>
      <w:suppressAutoHyphens w:val="0"/>
      <w:spacing w:before="100" w:beforeAutospacing="1" w:after="100" w:afterAutospacing="1"/>
    </w:pPr>
  </w:style>
  <w:style w:type="character" w:customStyle="1" w:styleId="ui-provider">
    <w:name w:val="ui-provider"/>
    <w:basedOn w:val="DefaultParagraphFont"/>
    <w:rsid w:val="00216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0781">
      <w:bodyDiv w:val="1"/>
      <w:marLeft w:val="0"/>
      <w:marRight w:val="0"/>
      <w:marTop w:val="0"/>
      <w:marBottom w:val="0"/>
      <w:divBdr>
        <w:top w:val="none" w:sz="0" w:space="0" w:color="auto"/>
        <w:left w:val="none" w:sz="0" w:space="0" w:color="auto"/>
        <w:bottom w:val="none" w:sz="0" w:space="0" w:color="auto"/>
        <w:right w:val="none" w:sz="0" w:space="0" w:color="auto"/>
      </w:divBdr>
    </w:div>
    <w:div w:id="187721807">
      <w:bodyDiv w:val="1"/>
      <w:marLeft w:val="0"/>
      <w:marRight w:val="0"/>
      <w:marTop w:val="0"/>
      <w:marBottom w:val="0"/>
      <w:divBdr>
        <w:top w:val="none" w:sz="0" w:space="0" w:color="auto"/>
        <w:left w:val="none" w:sz="0" w:space="0" w:color="auto"/>
        <w:bottom w:val="none" w:sz="0" w:space="0" w:color="auto"/>
        <w:right w:val="none" w:sz="0" w:space="0" w:color="auto"/>
      </w:divBdr>
    </w:div>
    <w:div w:id="353658038">
      <w:bodyDiv w:val="1"/>
      <w:marLeft w:val="0"/>
      <w:marRight w:val="0"/>
      <w:marTop w:val="0"/>
      <w:marBottom w:val="0"/>
      <w:divBdr>
        <w:top w:val="none" w:sz="0" w:space="0" w:color="auto"/>
        <w:left w:val="none" w:sz="0" w:space="0" w:color="auto"/>
        <w:bottom w:val="none" w:sz="0" w:space="0" w:color="auto"/>
        <w:right w:val="none" w:sz="0" w:space="0" w:color="auto"/>
      </w:divBdr>
    </w:div>
    <w:div w:id="393891816">
      <w:bodyDiv w:val="1"/>
      <w:marLeft w:val="0"/>
      <w:marRight w:val="0"/>
      <w:marTop w:val="0"/>
      <w:marBottom w:val="0"/>
      <w:divBdr>
        <w:top w:val="none" w:sz="0" w:space="0" w:color="auto"/>
        <w:left w:val="none" w:sz="0" w:space="0" w:color="auto"/>
        <w:bottom w:val="none" w:sz="0" w:space="0" w:color="auto"/>
        <w:right w:val="none" w:sz="0" w:space="0" w:color="auto"/>
      </w:divBdr>
    </w:div>
    <w:div w:id="498230343">
      <w:bodyDiv w:val="1"/>
      <w:marLeft w:val="0"/>
      <w:marRight w:val="0"/>
      <w:marTop w:val="0"/>
      <w:marBottom w:val="0"/>
      <w:divBdr>
        <w:top w:val="none" w:sz="0" w:space="0" w:color="auto"/>
        <w:left w:val="none" w:sz="0" w:space="0" w:color="auto"/>
        <w:bottom w:val="none" w:sz="0" w:space="0" w:color="auto"/>
        <w:right w:val="none" w:sz="0" w:space="0" w:color="auto"/>
      </w:divBdr>
    </w:div>
    <w:div w:id="573902708">
      <w:bodyDiv w:val="1"/>
      <w:marLeft w:val="0"/>
      <w:marRight w:val="0"/>
      <w:marTop w:val="0"/>
      <w:marBottom w:val="0"/>
      <w:divBdr>
        <w:top w:val="none" w:sz="0" w:space="0" w:color="auto"/>
        <w:left w:val="none" w:sz="0" w:space="0" w:color="auto"/>
        <w:bottom w:val="none" w:sz="0" w:space="0" w:color="auto"/>
        <w:right w:val="none" w:sz="0" w:space="0" w:color="auto"/>
      </w:divBdr>
    </w:div>
    <w:div w:id="860435380">
      <w:bodyDiv w:val="1"/>
      <w:marLeft w:val="0"/>
      <w:marRight w:val="0"/>
      <w:marTop w:val="0"/>
      <w:marBottom w:val="0"/>
      <w:divBdr>
        <w:top w:val="none" w:sz="0" w:space="0" w:color="auto"/>
        <w:left w:val="none" w:sz="0" w:space="0" w:color="auto"/>
        <w:bottom w:val="none" w:sz="0" w:space="0" w:color="auto"/>
        <w:right w:val="none" w:sz="0" w:space="0" w:color="auto"/>
      </w:divBdr>
    </w:div>
    <w:div w:id="862396677">
      <w:bodyDiv w:val="1"/>
      <w:marLeft w:val="0"/>
      <w:marRight w:val="0"/>
      <w:marTop w:val="0"/>
      <w:marBottom w:val="0"/>
      <w:divBdr>
        <w:top w:val="none" w:sz="0" w:space="0" w:color="auto"/>
        <w:left w:val="none" w:sz="0" w:space="0" w:color="auto"/>
        <w:bottom w:val="none" w:sz="0" w:space="0" w:color="auto"/>
        <w:right w:val="none" w:sz="0" w:space="0" w:color="auto"/>
      </w:divBdr>
    </w:div>
    <w:div w:id="947204192">
      <w:bodyDiv w:val="1"/>
      <w:marLeft w:val="0"/>
      <w:marRight w:val="0"/>
      <w:marTop w:val="0"/>
      <w:marBottom w:val="0"/>
      <w:divBdr>
        <w:top w:val="none" w:sz="0" w:space="0" w:color="auto"/>
        <w:left w:val="none" w:sz="0" w:space="0" w:color="auto"/>
        <w:bottom w:val="none" w:sz="0" w:space="0" w:color="auto"/>
        <w:right w:val="none" w:sz="0" w:space="0" w:color="auto"/>
      </w:divBdr>
    </w:div>
    <w:div w:id="1035236592">
      <w:bodyDiv w:val="1"/>
      <w:marLeft w:val="0"/>
      <w:marRight w:val="0"/>
      <w:marTop w:val="0"/>
      <w:marBottom w:val="0"/>
      <w:divBdr>
        <w:top w:val="none" w:sz="0" w:space="0" w:color="auto"/>
        <w:left w:val="none" w:sz="0" w:space="0" w:color="auto"/>
        <w:bottom w:val="none" w:sz="0" w:space="0" w:color="auto"/>
        <w:right w:val="none" w:sz="0" w:space="0" w:color="auto"/>
      </w:divBdr>
    </w:div>
    <w:div w:id="1119226396">
      <w:bodyDiv w:val="1"/>
      <w:marLeft w:val="0"/>
      <w:marRight w:val="0"/>
      <w:marTop w:val="0"/>
      <w:marBottom w:val="0"/>
      <w:divBdr>
        <w:top w:val="none" w:sz="0" w:space="0" w:color="auto"/>
        <w:left w:val="none" w:sz="0" w:space="0" w:color="auto"/>
        <w:bottom w:val="none" w:sz="0" w:space="0" w:color="auto"/>
        <w:right w:val="none" w:sz="0" w:space="0" w:color="auto"/>
      </w:divBdr>
    </w:div>
    <w:div w:id="1259168939">
      <w:bodyDiv w:val="1"/>
      <w:marLeft w:val="0"/>
      <w:marRight w:val="0"/>
      <w:marTop w:val="0"/>
      <w:marBottom w:val="0"/>
      <w:divBdr>
        <w:top w:val="none" w:sz="0" w:space="0" w:color="auto"/>
        <w:left w:val="none" w:sz="0" w:space="0" w:color="auto"/>
        <w:bottom w:val="none" w:sz="0" w:space="0" w:color="auto"/>
        <w:right w:val="none" w:sz="0" w:space="0" w:color="auto"/>
      </w:divBdr>
    </w:div>
    <w:div w:id="1465075376">
      <w:bodyDiv w:val="1"/>
      <w:marLeft w:val="0"/>
      <w:marRight w:val="0"/>
      <w:marTop w:val="0"/>
      <w:marBottom w:val="0"/>
      <w:divBdr>
        <w:top w:val="none" w:sz="0" w:space="0" w:color="auto"/>
        <w:left w:val="none" w:sz="0" w:space="0" w:color="auto"/>
        <w:bottom w:val="none" w:sz="0" w:space="0" w:color="auto"/>
        <w:right w:val="none" w:sz="0" w:space="0" w:color="auto"/>
      </w:divBdr>
    </w:div>
    <w:div w:id="1541742569">
      <w:bodyDiv w:val="1"/>
      <w:marLeft w:val="0"/>
      <w:marRight w:val="0"/>
      <w:marTop w:val="0"/>
      <w:marBottom w:val="0"/>
      <w:divBdr>
        <w:top w:val="none" w:sz="0" w:space="0" w:color="auto"/>
        <w:left w:val="none" w:sz="0" w:space="0" w:color="auto"/>
        <w:bottom w:val="none" w:sz="0" w:space="0" w:color="auto"/>
        <w:right w:val="none" w:sz="0" w:space="0" w:color="auto"/>
      </w:divBdr>
    </w:div>
    <w:div w:id="1825775619">
      <w:bodyDiv w:val="1"/>
      <w:marLeft w:val="0"/>
      <w:marRight w:val="0"/>
      <w:marTop w:val="0"/>
      <w:marBottom w:val="0"/>
      <w:divBdr>
        <w:top w:val="none" w:sz="0" w:space="0" w:color="auto"/>
        <w:left w:val="none" w:sz="0" w:space="0" w:color="auto"/>
        <w:bottom w:val="none" w:sz="0" w:space="0" w:color="auto"/>
        <w:right w:val="none" w:sz="0" w:space="0" w:color="auto"/>
      </w:divBdr>
    </w:div>
    <w:div w:id="1836335397">
      <w:bodyDiv w:val="1"/>
      <w:marLeft w:val="0"/>
      <w:marRight w:val="0"/>
      <w:marTop w:val="0"/>
      <w:marBottom w:val="0"/>
      <w:divBdr>
        <w:top w:val="none" w:sz="0" w:space="0" w:color="auto"/>
        <w:left w:val="none" w:sz="0" w:space="0" w:color="auto"/>
        <w:bottom w:val="none" w:sz="0" w:space="0" w:color="auto"/>
        <w:right w:val="none" w:sz="0" w:space="0" w:color="auto"/>
      </w:divBdr>
    </w:div>
    <w:div w:id="1867209114">
      <w:bodyDiv w:val="1"/>
      <w:marLeft w:val="0"/>
      <w:marRight w:val="0"/>
      <w:marTop w:val="0"/>
      <w:marBottom w:val="0"/>
      <w:divBdr>
        <w:top w:val="none" w:sz="0" w:space="0" w:color="auto"/>
        <w:left w:val="none" w:sz="0" w:space="0" w:color="auto"/>
        <w:bottom w:val="none" w:sz="0" w:space="0" w:color="auto"/>
        <w:right w:val="none" w:sz="0" w:space="0" w:color="auto"/>
      </w:divBdr>
    </w:div>
    <w:div w:id="1914047829">
      <w:bodyDiv w:val="1"/>
      <w:marLeft w:val="0"/>
      <w:marRight w:val="0"/>
      <w:marTop w:val="0"/>
      <w:marBottom w:val="0"/>
      <w:divBdr>
        <w:top w:val="none" w:sz="0" w:space="0" w:color="auto"/>
        <w:left w:val="none" w:sz="0" w:space="0" w:color="auto"/>
        <w:bottom w:val="none" w:sz="0" w:space="0" w:color="auto"/>
        <w:right w:val="none" w:sz="0" w:space="0" w:color="auto"/>
      </w:divBdr>
    </w:div>
    <w:div w:id="2009089757">
      <w:bodyDiv w:val="1"/>
      <w:marLeft w:val="0"/>
      <w:marRight w:val="0"/>
      <w:marTop w:val="0"/>
      <w:marBottom w:val="0"/>
      <w:divBdr>
        <w:top w:val="none" w:sz="0" w:space="0" w:color="auto"/>
        <w:left w:val="none" w:sz="0" w:space="0" w:color="auto"/>
        <w:bottom w:val="none" w:sz="0" w:space="0" w:color="auto"/>
        <w:right w:val="none" w:sz="0" w:space="0" w:color="auto"/>
      </w:divBdr>
    </w:div>
    <w:div w:id="21134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45B0-7791-4E34-A266-485382830FD5}">
  <ds:schemaRefs>
    <ds:schemaRef ds:uri="http://schemas.openxmlformats.org/officeDocument/2006/bibliography"/>
  </ds:schemaRefs>
</ds:datastoreItem>
</file>

<file path=docMetadata/LabelInfo.xml><?xml version="1.0" encoding="utf-8"?>
<clbl:labelList xmlns:clbl="http://schemas.microsoft.com/office/2020/mipLabelMetadata">
  <clbl:label id="{d0cb1e24-a0e2-4a4c-9340-733297c9cd7c}" enabled="1" method="Privileged" siteId="{db1e96a8-a3da-442a-930b-235cac24cd5c}" removed="0"/>
</clbl:labelList>
</file>

<file path=docProps/app.xml><?xml version="1.0" encoding="utf-8"?>
<Properties xmlns="http://schemas.openxmlformats.org/officeDocument/2006/extended-properties" xmlns:vt="http://schemas.openxmlformats.org/officeDocument/2006/docPropsVTypes">
  <Template>Normal</Template>
  <TotalTime>200</TotalTime>
  <Pages>5</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Parish, Dakota</dc:creator>
  <cp:keywords/>
  <dc:description/>
  <cp:lastModifiedBy>Resmi Surendran - 1209</cp:lastModifiedBy>
  <cp:revision>176</cp:revision>
  <dcterms:created xsi:type="dcterms:W3CDTF">2023-04-05T17:02:00Z</dcterms:created>
  <dcterms:modified xsi:type="dcterms:W3CDTF">2023-04-05T21:37:00Z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y fmtid="{D5CDD505-2E9C-101B-9397-08002B2CF9AE}" pid="3" name="ndDocumentId">
    <vt:lpwstr>4863-1419-2451</vt:lpwstr>
  </property>
</Properties>
</file>